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版本号：HYKZB-2025-005.1B120250804001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防撞设备购置项目(二次)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HYKZB-2025-005.1B1</w:t>
      </w:r>
      <w:r>
        <w:br/>
      </w:r>
      <w:r>
        <w:br/>
      </w:r>
      <w:r>
        <w:br/>
      </w:r>
    </w:p>
    <w:p>
      <w:pPr>
        <w:pStyle w:val="null3"/>
        <w:jc w:val="center"/>
        <w:outlineLvl w:val="2"/>
      </w:pPr>
      <w:r>
        <w:rPr>
          <w:rFonts w:ascii="仿宋_GB2312" w:hAnsi="仿宋_GB2312" w:cs="仿宋_GB2312" w:eastAsia="仿宋_GB2312"/>
          <w:sz w:val="28"/>
          <w:b/>
        </w:rPr>
        <w:t>西安市雁塔区第一中学</w:t>
      </w:r>
    </w:p>
    <w:p>
      <w:pPr>
        <w:pStyle w:val="null3"/>
        <w:jc w:val="center"/>
        <w:outlineLvl w:val="2"/>
      </w:pPr>
      <w:r>
        <w:rPr>
          <w:rFonts w:ascii="仿宋_GB2312" w:hAnsi="仿宋_GB2312" w:cs="仿宋_GB2312" w:eastAsia="仿宋_GB2312"/>
          <w:sz w:val="28"/>
          <w:b/>
        </w:rPr>
        <w:t>陕西和盈凯项目管理有限公司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陕西和盈凯项目管理有限公司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西安市雁塔区第一中学</w:t>
      </w:r>
      <w:r>
        <w:rPr>
          <w:rFonts w:ascii="仿宋_GB2312" w:hAnsi="仿宋_GB2312" w:cs="仿宋_GB2312" w:eastAsia="仿宋_GB2312"/>
        </w:rPr>
        <w:t>委托，拟对</w:t>
      </w:r>
      <w:r>
        <w:rPr>
          <w:rFonts w:ascii="仿宋_GB2312" w:hAnsi="仿宋_GB2312" w:cs="仿宋_GB2312" w:eastAsia="仿宋_GB2312"/>
        </w:rPr>
        <w:t>防撞设备购置项目(二次)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HYKZB-2025-005.1B1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防撞设备购置项目(二次)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1.防撞设备必须具备足够的强度和稳定性，能够有效阻挡车辆的冲撞。2.设备的设计，材料和制造过程应符合相关安全标准和规范，确保其在长期使用过程中不会出现安全隐患。3.设备应易于操作和维护，方便学校管理人员进行日常管理和维护工作。 4.在一些特殊情况下，如紧急疏散、特殊活动等，防撞设备应能够快速、方便地移动或调整，以满足校园管理的灵活性需求。5防撞设备能够长期暴露在室外环境中而不损坏。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采购包1（西安市雁塔区第一中学防撞设备购置项目）：属于专门面向中小企业采购。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财务状况报告：提供2024年度经审计的完整财务报告(成立时间至提交谈判文件截止时间不足一年的可提供成立后任意时段的资产负债表)或谈判截止日前六个月内基本存款账户开户银行出具的资信证明(附开户许可证或开户证明)。供应商需在项目电子化交易系统中按要求上传相应证明文件并进行电子签章;</w:t>
      </w:r>
    </w:p>
    <w:p>
      <w:pPr>
        <w:pStyle w:val="null3"/>
      </w:pPr>
      <w:r>
        <w:rPr>
          <w:rFonts w:ascii="仿宋_GB2312" w:hAnsi="仿宋_GB2312" w:cs="仿宋_GB2312" w:eastAsia="仿宋_GB2312"/>
        </w:rPr>
        <w:t>3、税收缴纳凭证：提供谈判截止日前六个月内任意一个月的纳税证明或完税证明(增值税、印花税、城市维护建设费、企业所得税等一种或多种税种)，依法免税的单位提供相关证明材料。供应商需在项目电子化交易系统中按要求上传相应证明文件并进行电子签章;</w:t>
      </w:r>
    </w:p>
    <w:p>
      <w:pPr>
        <w:pStyle w:val="null3"/>
      </w:pPr>
      <w:r>
        <w:rPr>
          <w:rFonts w:ascii="仿宋_GB2312" w:hAnsi="仿宋_GB2312" w:cs="仿宋_GB2312" w:eastAsia="仿宋_GB2312"/>
        </w:rPr>
        <w:t>4、社会保险缴纳的凭证：提供谈判截止日前六个月内任意一个月的社保资金交纳证明，依法不需要缴纳社保资金的单位提供相关证明材料。供应商需在项目电子化交易系统中技要求上传相应证明文件并进行电子签章;</w:t>
      </w:r>
    </w:p>
    <w:p>
      <w:pPr>
        <w:pStyle w:val="null3"/>
      </w:pPr>
      <w:r>
        <w:rPr>
          <w:rFonts w:ascii="仿宋_GB2312" w:hAnsi="仿宋_GB2312" w:cs="仿宋_GB2312" w:eastAsia="仿宋_GB2312"/>
        </w:rPr>
        <w:t>5、参加本次政府采购活动前三年内在经营活动中没有重大违法记录的书面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6、具有履行合同所必需的设备和专业技术能力书面声明函：提供具有履行合同所必需的设备和专业技术能力的承诺，供应商需在项目电子化交易系统中按要求上传相应证明文件并进行电子签章;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7、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pPr>
        <w:pStyle w:val="null3"/>
      </w:pPr>
      <w:r>
        <w:rPr>
          <w:rFonts w:ascii="仿宋_GB2312" w:hAnsi="仿宋_GB2312" w:cs="仿宋_GB2312" w:eastAsia="仿宋_GB2312"/>
        </w:rPr>
        <w:t>8、信用状况：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w:t>
      </w:r>
    </w:p>
    <w:p>
      <w:pPr>
        <w:pStyle w:val="null3"/>
      </w:pPr>
      <w:r>
        <w:rPr>
          <w:rFonts w:ascii="仿宋_GB2312" w:hAnsi="仿宋_GB2312" w:cs="仿宋_GB2312" w:eastAsia="仿宋_GB2312"/>
        </w:rPr>
        <w:t>9、是否接受联合体投标：本项目不接受联合体投标，供应商需在项目电子化交易系统中按要求上传相应证明文件并进行电子签章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西安市雁塔区第一中学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雁塔区青龙寺路与新安路十字西南角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18682925937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陕西和盈凯项目管理有限公司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陕西省西安市雁塔区陕西省西安市高新区丈八街办唐延路35号旺座现代城D座1704室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17792720529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关于招标代理服务收费有关问题的通知》（发改办价格〔2003〕857号）文件规定的标准收取，不足5000元，按照5000元收取，此服务费应计入响应报价中，但不需要单独开列，具体收费金额将在成交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西安市雁塔区第一中学</w:t>
      </w:r>
      <w:r>
        <w:rPr>
          <w:rFonts w:ascii="仿宋_GB2312" w:hAnsi="仿宋_GB2312" w:cs="仿宋_GB2312" w:eastAsia="仿宋_GB2312"/>
        </w:rPr>
        <w:t>和</w:t>
      </w:r>
      <w:r>
        <w:rPr>
          <w:rFonts w:ascii="仿宋_GB2312" w:hAnsi="仿宋_GB2312" w:cs="仿宋_GB2312" w:eastAsia="仿宋_GB2312"/>
        </w:rPr>
        <w:t>陕西和盈凯项目管理有限公司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西安市雁塔区第一中学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陕西和盈凯项目管理有限公司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西安市雁塔区第一中学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陕西和盈凯项目管理有限公司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陕西和盈凯项目管理有限公司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陕西和盈凯项目管理有限公司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陕西和盈凯项目管理有限公司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联系人：杨丹</w:t>
      </w:r>
    </w:p>
    <w:p>
      <w:pPr>
        <w:pStyle w:val="null3"/>
      </w:pPr>
      <w:r>
        <w:rPr>
          <w:rFonts w:ascii="仿宋_GB2312" w:hAnsi="仿宋_GB2312" w:cs="仿宋_GB2312" w:eastAsia="仿宋_GB2312"/>
        </w:rPr>
        <w:t>联系电话：17792720529</w:t>
      </w:r>
    </w:p>
    <w:p>
      <w:pPr>
        <w:pStyle w:val="null3"/>
      </w:pPr>
      <w:r>
        <w:rPr>
          <w:rFonts w:ascii="仿宋_GB2312" w:hAnsi="仿宋_GB2312" w:cs="仿宋_GB2312" w:eastAsia="仿宋_GB2312"/>
        </w:rPr>
        <w:t>地址： 陕西省西安市高新区丈八街办唐延路35号旺座现代城D座1704</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雁塔区第一中学防撞设备购置项目，预算金额110000.00元；配置描述：1.防撞设备必须具备足够的强度和稳定性，能够有效阻挡车辆的冲撞。2.设备的设计，材料和制造过程应符合相关安全标准和规范，确保其在长期使用过程中不会出现安全隐患。3.设备应易于操作和维护，方便学校管理人员进行日常管理和维护工作。 4.在一些特殊情况下，如紧急疏散、特殊活动等，防撞设备应能够快速、方便地移动或调整，以满足校园管理的灵活性需求。5防撞设备能够长期暴露在室外环境中而不损坏。</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w:t>
      </w:r>
    </w:p>
    <w:p>
      <w:pPr>
        <w:pStyle w:val="null3"/>
      </w:pPr>
      <w:r>
        <w:rPr>
          <w:rFonts w:ascii="仿宋_GB2312" w:hAnsi="仿宋_GB2312" w:cs="仿宋_GB2312" w:eastAsia="仿宋_GB2312"/>
        </w:rPr>
        <w:t>采购包最高限价（元）: 110,000.00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110000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标的名称：110000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一、全自动防撞柱</w:t>
            </w:r>
          </w:p>
          <w:p>
            <w:pPr>
              <w:pStyle w:val="null3"/>
              <w:jc w:val="left"/>
            </w:pPr>
            <w:r>
              <w:rPr>
                <w:rFonts w:ascii="仿宋_GB2312" w:hAnsi="仿宋_GB2312" w:cs="仿宋_GB2312" w:eastAsia="仿宋_GB2312"/>
                <w:sz w:val="21"/>
              </w:rPr>
              <w:t>1、柱体直径：≥219mm</w:t>
            </w:r>
          </w:p>
          <w:p>
            <w:pPr>
              <w:pStyle w:val="null3"/>
              <w:jc w:val="left"/>
            </w:pPr>
            <w:r>
              <w:rPr>
                <w:rFonts w:ascii="仿宋_GB2312" w:hAnsi="仿宋_GB2312" w:cs="仿宋_GB2312" w:eastAsia="仿宋_GB2312"/>
                <w:sz w:val="21"/>
              </w:rPr>
              <w:t>2、柱体厚度：≥</w:t>
            </w:r>
            <w:r>
              <w:rPr>
                <w:rFonts w:ascii="仿宋_GB2312" w:hAnsi="仿宋_GB2312" w:cs="仿宋_GB2312" w:eastAsia="仿宋_GB2312"/>
                <w:sz w:val="21"/>
              </w:rPr>
              <w:t>6</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3、柱体升起后高度：≥600mm</w:t>
            </w:r>
          </w:p>
          <w:p>
            <w:pPr>
              <w:pStyle w:val="null3"/>
              <w:jc w:val="left"/>
            </w:pPr>
            <w:r>
              <w:rPr>
                <w:rFonts w:ascii="仿宋_GB2312" w:hAnsi="仿宋_GB2312" w:cs="仿宋_GB2312" w:eastAsia="仿宋_GB2312"/>
                <w:sz w:val="21"/>
              </w:rPr>
              <w:t>4、升降柱柱体材质：304不锈钢无缝管。</w:t>
            </w:r>
          </w:p>
          <w:p>
            <w:pPr>
              <w:pStyle w:val="null3"/>
              <w:jc w:val="left"/>
            </w:pPr>
            <w:r>
              <w:rPr>
                <w:rFonts w:ascii="仿宋_GB2312" w:hAnsi="仿宋_GB2312" w:cs="仿宋_GB2312" w:eastAsia="仿宋_GB2312"/>
                <w:sz w:val="21"/>
              </w:rPr>
              <w:t>5、预埋桶尺寸：高度≥800mm；预埋桶法兰外径≥</w:t>
            </w:r>
            <w:r>
              <w:rPr>
                <w:rFonts w:ascii="仿宋_GB2312" w:hAnsi="仿宋_GB2312" w:cs="仿宋_GB2312" w:eastAsia="仿宋_GB2312"/>
                <w:sz w:val="21"/>
              </w:rPr>
              <w:t>39</w:t>
            </w:r>
            <w:r>
              <w:rPr>
                <w:rFonts w:ascii="仿宋_GB2312" w:hAnsi="仿宋_GB2312" w:cs="仿宋_GB2312" w:eastAsia="仿宋_GB2312"/>
                <w:sz w:val="21"/>
              </w:rPr>
              <w:t>0mm；厚度≥</w:t>
            </w:r>
            <w:r>
              <w:rPr>
                <w:rFonts w:ascii="仿宋_GB2312" w:hAnsi="仿宋_GB2312" w:cs="仿宋_GB2312" w:eastAsia="仿宋_GB2312"/>
                <w:sz w:val="21"/>
              </w:rPr>
              <w:t>12</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6、预埋桶材质：采用Q235钢制作，厚度≥</w:t>
            </w:r>
            <w:r>
              <w:rPr>
                <w:rFonts w:ascii="仿宋_GB2312" w:hAnsi="仿宋_GB2312" w:cs="仿宋_GB2312" w:eastAsia="仿宋_GB2312"/>
                <w:sz w:val="21"/>
              </w:rPr>
              <w:t>2</w:t>
            </w:r>
            <w:r>
              <w:rPr>
                <w:rFonts w:ascii="仿宋_GB2312" w:hAnsi="仿宋_GB2312" w:cs="仿宋_GB2312" w:eastAsia="仿宋_GB2312"/>
                <w:sz w:val="21"/>
              </w:rPr>
              <w:t>mm;成分C≤0.2% Si≤0.35% P≤0.045%Mn≤1.4%</w:t>
            </w:r>
          </w:p>
          <w:p>
            <w:pPr>
              <w:pStyle w:val="null3"/>
              <w:jc w:val="left"/>
            </w:pPr>
            <w:r>
              <w:rPr>
                <w:rFonts w:ascii="仿宋_GB2312" w:hAnsi="仿宋_GB2312" w:cs="仿宋_GB2312" w:eastAsia="仿宋_GB2312"/>
                <w:sz w:val="21"/>
              </w:rPr>
              <w:t>7、预埋桶长期埋于地下，必须具有防腐蚀性能。预埋桶按GB/T10125-2012中性盐雾试验要求，进行连续喷雾试验96H，样品表面无红绣。</w:t>
            </w:r>
          </w:p>
          <w:p>
            <w:pPr>
              <w:pStyle w:val="null3"/>
              <w:jc w:val="left"/>
            </w:pPr>
            <w:r>
              <w:rPr>
                <w:rFonts w:ascii="仿宋_GB2312" w:hAnsi="仿宋_GB2312" w:cs="仿宋_GB2312" w:eastAsia="仿宋_GB2312"/>
                <w:sz w:val="21"/>
              </w:rPr>
              <w:t>8、防滑要求：顶盖法兰部分及运动柱体顶部设置防滑纹，防滑纹的深度、宽度均不得低于2mm，且防滑纹之间每个区域的内切圆直径不得大于60mm。</w:t>
            </w:r>
          </w:p>
          <w:p>
            <w:pPr>
              <w:pStyle w:val="null3"/>
              <w:jc w:val="left"/>
            </w:pPr>
            <w:r>
              <w:rPr>
                <w:rFonts w:ascii="仿宋_GB2312" w:hAnsi="仿宋_GB2312" w:cs="仿宋_GB2312" w:eastAsia="仿宋_GB2312"/>
                <w:sz w:val="21"/>
              </w:rPr>
              <w:t>9、警示功能要求：运动柱体表面有3M钻石级反光警示条，宽度《50m，柱体顶部采用超高亮LED警示灯珠，360度内嵌于 PC灯盘内，可通过拆卸顶盖对警示灯进行更换或检修，升降柱在上升、下降运行过程中及处于立柱升起状态时，顶灯有闪烁发光信号提示功能:也可以设置常亮，柱体完全下降后，灯被隐藏保护，车辆碾压不到，夜晚在远处仍可明显观察到地面有警示灯光,灯带与控制系统之间所连接线缆电压不得大于24V且为直流电，功率≤6W。</w:t>
            </w:r>
          </w:p>
          <w:p>
            <w:pPr>
              <w:pStyle w:val="null3"/>
              <w:jc w:val="left"/>
            </w:pPr>
            <w:r>
              <w:rPr>
                <w:rFonts w:ascii="仿宋_GB2312" w:hAnsi="仿宋_GB2312" w:cs="仿宋_GB2312" w:eastAsia="仿宋_GB2312"/>
                <w:sz w:val="21"/>
              </w:rPr>
              <w:t>10、防刮保护要求：运动柱体与地面盖板之间采用非金属材质的隔离PA66护圈，以避免地面面刮花运动柱体。</w:t>
            </w:r>
          </w:p>
          <w:p>
            <w:pPr>
              <w:pStyle w:val="null3"/>
              <w:jc w:val="left"/>
            </w:pPr>
            <w:r>
              <w:rPr>
                <w:rFonts w:ascii="仿宋_GB2312" w:hAnsi="仿宋_GB2312" w:cs="仿宋_GB2312" w:eastAsia="仿宋_GB2312"/>
                <w:sz w:val="21"/>
              </w:rPr>
              <w:t>11、防顶车要求：在阻拦柱体内加装防撞防顶车装置，运行阻拦设备时开启红外感应,升降到位时自动关闭。当阻拦设备在上升过程中前后方1米内出现行驶车辆时,设备立即停止上升动作马上降下阻拦设备至地面。</w:t>
            </w:r>
          </w:p>
          <w:p>
            <w:pPr>
              <w:pStyle w:val="null3"/>
              <w:jc w:val="left"/>
            </w:pPr>
            <w:r>
              <w:rPr>
                <w:rFonts w:ascii="仿宋_GB2312" w:hAnsi="仿宋_GB2312" w:cs="仿宋_GB2312" w:eastAsia="仿宋_GB2312"/>
                <w:sz w:val="21"/>
              </w:rPr>
              <w:t>12、举重力检验：举重力度≥300Kg,升降柱升起到位后，最大抗压力应不小于300Kg。</w:t>
            </w:r>
          </w:p>
          <w:p>
            <w:pPr>
              <w:pStyle w:val="null3"/>
              <w:jc w:val="left"/>
            </w:pPr>
            <w:r>
              <w:rPr>
                <w:rFonts w:ascii="仿宋_GB2312" w:hAnsi="仿宋_GB2312" w:cs="仿宋_GB2312" w:eastAsia="仿宋_GB2312"/>
                <w:sz w:val="21"/>
              </w:rPr>
              <w:t>13、静态负载力检验：在不少于50吨的车辆碾压通行后，柱体应能正常升降。</w:t>
            </w:r>
          </w:p>
          <w:p>
            <w:pPr>
              <w:pStyle w:val="null3"/>
              <w:jc w:val="left"/>
            </w:pPr>
            <w:r>
              <w:rPr>
                <w:rFonts w:ascii="仿宋_GB2312" w:hAnsi="仿宋_GB2312" w:cs="仿宋_GB2312" w:eastAsia="仿宋_GB2312"/>
                <w:sz w:val="21"/>
              </w:rPr>
              <w:t>14、保压功能检验：升降柱上升到最高点后，24h保持升起状态，柱体下降不超过10mm。</w:t>
            </w:r>
          </w:p>
          <w:p>
            <w:pPr>
              <w:pStyle w:val="null3"/>
              <w:jc w:val="left"/>
            </w:pPr>
            <w:r>
              <w:rPr>
                <w:rFonts w:ascii="仿宋_GB2312" w:hAnsi="仿宋_GB2312" w:cs="仿宋_GB2312" w:eastAsia="仿宋_GB2312"/>
                <w:sz w:val="21"/>
              </w:rPr>
              <w:t>15、工作噪音：工作噪音：运行时噪音≤60dB</w:t>
            </w:r>
          </w:p>
          <w:p>
            <w:pPr>
              <w:pStyle w:val="null3"/>
              <w:jc w:val="left"/>
            </w:pPr>
            <w:r>
              <w:rPr>
                <w:rFonts w:ascii="仿宋_GB2312" w:hAnsi="仿宋_GB2312" w:cs="仿宋_GB2312" w:eastAsia="仿宋_GB2312"/>
                <w:sz w:val="21"/>
              </w:rPr>
              <w:t>16、升降压力装置：升降柱体内设置有升降压力装置，升降过程中柱体顶部压力大于设置值（50-100公斤可调）时，柱体将自动停止动作，以实现防顶车或防顶人的功能；</w:t>
            </w:r>
          </w:p>
          <w:p>
            <w:pPr>
              <w:pStyle w:val="null3"/>
              <w:jc w:val="left"/>
            </w:pPr>
            <w:r>
              <w:rPr>
                <w:rFonts w:ascii="仿宋_GB2312" w:hAnsi="仿宋_GB2312" w:cs="仿宋_GB2312" w:eastAsia="仿宋_GB2312"/>
                <w:sz w:val="21"/>
              </w:rPr>
              <w:t>17、阻挡性能：提供投标产品检测依据为GA/T 1343-2016《防暴升降式阻车路障》，要求产品阻挡性能满足：碰撞</w:t>
            </w:r>
            <w:r>
              <w:rPr>
                <w:rFonts w:ascii="仿宋_GB2312" w:hAnsi="仿宋_GB2312" w:cs="仿宋_GB2312" w:eastAsia="仿宋_GB2312"/>
                <w:sz w:val="21"/>
              </w:rPr>
              <w:t>符合国家相关标准</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18、手动升降功能：在无任何电源供电的情况下，手动可以升降地柱；</w:t>
            </w:r>
          </w:p>
          <w:p>
            <w:pPr>
              <w:pStyle w:val="null3"/>
              <w:jc w:val="left"/>
            </w:pPr>
            <w:r>
              <w:rPr>
                <w:rFonts w:ascii="仿宋_GB2312" w:hAnsi="仿宋_GB2312" w:cs="仿宋_GB2312" w:eastAsia="仿宋_GB2312"/>
                <w:sz w:val="21"/>
              </w:rPr>
              <w:t>19</w:t>
            </w:r>
            <w:r>
              <w:rPr>
                <w:rFonts w:ascii="仿宋_GB2312" w:hAnsi="仿宋_GB2312" w:cs="仿宋_GB2312" w:eastAsia="仿宋_GB2312"/>
                <w:sz w:val="21"/>
              </w:rPr>
              <w:t>、运行时噪音＜</w:t>
            </w:r>
            <w:r>
              <w:rPr>
                <w:rFonts w:ascii="仿宋_GB2312" w:hAnsi="仿宋_GB2312" w:cs="仿宋_GB2312" w:eastAsia="仿宋_GB2312"/>
                <w:sz w:val="21"/>
              </w:rPr>
              <w:t>65dB；</w:t>
            </w:r>
          </w:p>
          <w:p>
            <w:pPr>
              <w:pStyle w:val="null3"/>
              <w:jc w:val="left"/>
            </w:pPr>
            <w:r>
              <w:rPr>
                <w:rFonts w:ascii="仿宋_GB2312" w:hAnsi="仿宋_GB2312" w:cs="仿宋_GB2312" w:eastAsia="仿宋_GB2312"/>
                <w:sz w:val="21"/>
              </w:rPr>
              <w:t>20</w:t>
            </w:r>
            <w:r>
              <w:rPr>
                <w:rFonts w:ascii="仿宋_GB2312" w:hAnsi="仿宋_GB2312" w:cs="仿宋_GB2312" w:eastAsia="仿宋_GB2312"/>
                <w:sz w:val="21"/>
              </w:rPr>
              <w:t>、防护等级：将升降地柱主体浸入水中</w:t>
            </w:r>
            <w:r>
              <w:rPr>
                <w:rFonts w:ascii="仿宋_GB2312" w:hAnsi="仿宋_GB2312" w:cs="仿宋_GB2312" w:eastAsia="仿宋_GB2312"/>
                <w:sz w:val="21"/>
              </w:rPr>
              <w:t>1.3m，浸入时间72h后，无漏电现象，并能正常升降，≥IP68防水等级；</w:t>
            </w:r>
          </w:p>
          <w:p>
            <w:pPr>
              <w:pStyle w:val="null3"/>
              <w:jc w:val="left"/>
            </w:pPr>
            <w:r>
              <w:rPr>
                <w:rFonts w:ascii="仿宋_GB2312" w:hAnsi="仿宋_GB2312" w:cs="仿宋_GB2312" w:eastAsia="仿宋_GB2312"/>
                <w:sz w:val="21"/>
              </w:rPr>
              <w:t>21</w:t>
            </w:r>
            <w:r>
              <w:rPr>
                <w:rFonts w:ascii="仿宋_GB2312" w:hAnsi="仿宋_GB2312" w:cs="仿宋_GB2312" w:eastAsia="仿宋_GB2312"/>
                <w:sz w:val="21"/>
              </w:rPr>
              <w:t>、可靠性：常温下，以</w:t>
            </w:r>
            <w:r>
              <w:rPr>
                <w:rFonts w:ascii="仿宋_GB2312" w:hAnsi="仿宋_GB2312" w:cs="仿宋_GB2312" w:eastAsia="仿宋_GB2312"/>
                <w:sz w:val="21"/>
              </w:rPr>
              <w:t>6次/分的速度连续升降不少于 60000 次，无停机及故障产生。</w:t>
            </w:r>
          </w:p>
          <w:p>
            <w:pPr>
              <w:pStyle w:val="null3"/>
              <w:jc w:val="left"/>
            </w:pPr>
            <w:r>
              <w:rPr>
                <w:rFonts w:ascii="仿宋_GB2312" w:hAnsi="仿宋_GB2312" w:cs="仿宋_GB2312" w:eastAsia="仿宋_GB2312"/>
                <w:sz w:val="21"/>
              </w:rPr>
              <w:t>二、路桩控制器</w:t>
            </w:r>
          </w:p>
          <w:p>
            <w:pPr>
              <w:pStyle w:val="null3"/>
              <w:jc w:val="left"/>
            </w:pPr>
            <w:r>
              <w:rPr>
                <w:rFonts w:ascii="仿宋_GB2312" w:hAnsi="仿宋_GB2312" w:cs="仿宋_GB2312" w:eastAsia="仿宋_GB2312"/>
                <w:sz w:val="21"/>
              </w:rPr>
              <w:t>1、安装方式包括立式、壁挂式均可;</w:t>
            </w:r>
          </w:p>
          <w:p>
            <w:pPr>
              <w:pStyle w:val="null3"/>
              <w:jc w:val="left"/>
            </w:pPr>
            <w:r>
              <w:rPr>
                <w:rFonts w:ascii="仿宋_GB2312" w:hAnsi="仿宋_GB2312" w:cs="仿宋_GB2312" w:eastAsia="仿宋_GB2312"/>
                <w:sz w:val="21"/>
              </w:rPr>
              <w:t>2、接入电源：AC 220V 50HZ；系统具有短路保护、过流保护等功能。</w:t>
            </w:r>
          </w:p>
          <w:p>
            <w:pPr>
              <w:pStyle w:val="null3"/>
              <w:jc w:val="left"/>
            </w:pPr>
            <w:r>
              <w:rPr>
                <w:rFonts w:ascii="仿宋_GB2312" w:hAnsi="仿宋_GB2312" w:cs="仿宋_GB2312" w:eastAsia="仿宋_GB2312"/>
                <w:sz w:val="21"/>
              </w:rPr>
              <w:t>3、应急电源：在外部供电停止状态下具有蓄电池应急电源。不接</w:t>
            </w:r>
            <w:r>
              <w:rPr>
                <w:rFonts w:ascii="仿宋_GB2312" w:hAnsi="仿宋_GB2312" w:cs="仿宋_GB2312" w:eastAsia="仿宋_GB2312"/>
                <w:sz w:val="21"/>
              </w:rPr>
              <w:t>入</w:t>
            </w:r>
            <w:r>
              <w:rPr>
                <w:rFonts w:ascii="仿宋_GB2312" w:hAnsi="仿宋_GB2312" w:cs="仿宋_GB2312" w:eastAsia="仿宋_GB2312"/>
                <w:sz w:val="21"/>
              </w:rPr>
              <w:t>AC220V的情况下连续升降、功能正常。</w:t>
            </w:r>
          </w:p>
          <w:p>
            <w:pPr>
              <w:pStyle w:val="null3"/>
              <w:jc w:val="left"/>
            </w:pPr>
            <w:r>
              <w:rPr>
                <w:rFonts w:ascii="仿宋_GB2312" w:hAnsi="仿宋_GB2312" w:cs="仿宋_GB2312" w:eastAsia="仿宋_GB2312"/>
                <w:sz w:val="21"/>
              </w:rPr>
              <w:t>4、升降柱一体机芯：防尘防水防护等级≥IP68。</w:t>
            </w:r>
          </w:p>
          <w:p>
            <w:pPr>
              <w:pStyle w:val="null3"/>
              <w:jc w:val="left"/>
            </w:pPr>
            <w:r>
              <w:rPr>
                <w:rFonts w:ascii="仿宋_GB2312" w:hAnsi="仿宋_GB2312" w:cs="仿宋_GB2312" w:eastAsia="仿宋_GB2312"/>
                <w:sz w:val="21"/>
              </w:rPr>
              <w:t>5、运行时噪音≤40dB。</w:t>
            </w:r>
          </w:p>
          <w:p>
            <w:pPr>
              <w:pStyle w:val="null3"/>
              <w:jc w:val="left"/>
            </w:pPr>
            <w:r>
              <w:rPr>
                <w:rFonts w:ascii="仿宋_GB2312" w:hAnsi="仿宋_GB2312" w:cs="仿宋_GB2312" w:eastAsia="仿宋_GB2312"/>
                <w:sz w:val="21"/>
              </w:rPr>
              <w:t>6、采用PLC控制方式，且具备以下功能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1）按键控制:主板上设有开、关、急停、警示灯，一键锁机等控制开关。</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2）手动控制:在发生断电或故障的情况下可手动泄压实现一键下降。</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3）联动控制:可分纽操作升降柱,也可“一键”操作所有升降柱升降;升降柱和车牌识别联动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4）无线遥控:遥控距离≥</w:t>
            </w:r>
            <w:r>
              <w:rPr>
                <w:rFonts w:ascii="仿宋_GB2312" w:hAnsi="仿宋_GB2312" w:cs="仿宋_GB2312" w:eastAsia="仿宋_GB2312"/>
                <w:sz w:val="21"/>
              </w:rPr>
              <w:t>50</w:t>
            </w:r>
            <w:r>
              <w:rPr>
                <w:rFonts w:ascii="仿宋_GB2312" w:hAnsi="仿宋_GB2312" w:cs="仿宋_GB2312" w:eastAsia="仿宋_GB2312"/>
                <w:sz w:val="21"/>
              </w:rPr>
              <w:t>米</w:t>
            </w:r>
            <w:r>
              <w:rPr>
                <w:rFonts w:ascii="仿宋_GB2312" w:hAnsi="仿宋_GB2312" w:cs="仿宋_GB2312" w:eastAsia="仿宋_GB2312"/>
                <w:sz w:val="21"/>
              </w:rPr>
              <w:t>;具有密码保护对接功能及保险开关防止误操作及信号串联。</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5）有线控制:具有保险并关防止误操作功能。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6）分组功能:可分1-8组控制升降柱升降,也可以同时具备全升全降功能。</w:t>
            </w:r>
          </w:p>
          <w:p>
            <w:pPr>
              <w:pStyle w:val="null3"/>
              <w:jc w:val="left"/>
            </w:pPr>
            <w:r>
              <w:rPr>
                <w:rFonts w:ascii="仿宋_GB2312" w:hAnsi="仿宋_GB2312" w:cs="仿宋_GB2312" w:eastAsia="仿宋_GB2312"/>
                <w:sz w:val="21"/>
              </w:rPr>
              <w:t>7、预留扩展接口：具有紧急联动、警灯、一键报警、监控联动、门禁联动、红外、手机 APP 远程、TCP/IP 网络远程、车牌识别系统等联动控制485接口、232接口。</w:t>
            </w:r>
          </w:p>
          <w:p>
            <w:pPr>
              <w:pStyle w:val="null3"/>
              <w:jc w:val="left"/>
            </w:pPr>
            <w:r>
              <w:rPr>
                <w:rFonts w:ascii="仿宋_GB2312" w:hAnsi="仿宋_GB2312" w:cs="仿宋_GB2312" w:eastAsia="仿宋_GB2312"/>
                <w:sz w:val="21"/>
              </w:rPr>
              <w:t>8、外接保护功能：控制系统可连接红外和地感等外接设备，实现人员和车辆保护功能。</w:t>
            </w:r>
          </w:p>
          <w:p>
            <w:pPr>
              <w:pStyle w:val="null3"/>
              <w:jc w:val="left"/>
            </w:pPr>
            <w:r>
              <w:rPr>
                <w:rFonts w:ascii="仿宋_GB2312" w:hAnsi="仿宋_GB2312" w:cs="仿宋_GB2312" w:eastAsia="仿宋_GB2312"/>
                <w:sz w:val="21"/>
              </w:rPr>
              <w:t>9、支持电脑客户端及手机APP远程控制功能：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1）电脑客户端软件应具有以下基本功能：</w:t>
            </w:r>
          </w:p>
          <w:p>
            <w:pPr>
              <w:pStyle w:val="null3"/>
              <w:jc w:val="left"/>
            </w:pPr>
            <w:r>
              <w:rPr>
                <w:rFonts w:ascii="仿宋_GB2312" w:hAnsi="仿宋_GB2312" w:cs="仿宋_GB2312" w:eastAsia="仿宋_GB2312"/>
                <w:sz w:val="21"/>
              </w:rPr>
              <w:t>A.监控与报警系统日志;</w:t>
            </w:r>
          </w:p>
          <w:p>
            <w:pPr>
              <w:pStyle w:val="null3"/>
              <w:jc w:val="left"/>
            </w:pPr>
            <w:r>
              <w:rPr>
                <w:rFonts w:ascii="仿宋_GB2312" w:hAnsi="仿宋_GB2312" w:cs="仿宋_GB2312" w:eastAsia="仿宋_GB2312"/>
                <w:sz w:val="21"/>
              </w:rPr>
              <w:t>B.系统权限管理(不同人员提供不同的用户界面、展现方式、数据信息)</w:t>
            </w:r>
          </w:p>
          <w:p>
            <w:pPr>
              <w:pStyle w:val="null3"/>
              <w:jc w:val="left"/>
            </w:pPr>
            <w:r>
              <w:rPr>
                <w:rFonts w:ascii="仿宋_GB2312" w:hAnsi="仿宋_GB2312" w:cs="仿宋_GB2312" w:eastAsia="仿宋_GB2312"/>
                <w:sz w:val="21"/>
              </w:rPr>
              <w:t>C.报表管理(系统自动按照报表的功能及需求，按照时、日、月、季、年等方式提供不同时间节点的报表)；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2）手机APP端应具有以下功能：</w:t>
            </w:r>
          </w:p>
          <w:p>
            <w:pPr>
              <w:pStyle w:val="null3"/>
              <w:jc w:val="left"/>
            </w:pPr>
            <w:r>
              <w:rPr>
                <w:rFonts w:ascii="仿宋_GB2312" w:hAnsi="仿宋_GB2312" w:cs="仿宋_GB2312" w:eastAsia="仿宋_GB2312"/>
                <w:sz w:val="21"/>
              </w:rPr>
              <w:t>A.支持多账号登录；</w:t>
            </w:r>
          </w:p>
          <w:p>
            <w:pPr>
              <w:pStyle w:val="null3"/>
              <w:jc w:val="left"/>
            </w:pPr>
            <w:r>
              <w:rPr>
                <w:rFonts w:ascii="仿宋_GB2312" w:hAnsi="仿宋_GB2312" w:cs="仿宋_GB2312" w:eastAsia="仿宋_GB2312"/>
                <w:sz w:val="21"/>
              </w:rPr>
              <w:t>B.支持操作记录查询功能（操作账号、操作方式、操作时间）信息存储记录不少于50000条；</w:t>
            </w:r>
          </w:p>
          <w:p>
            <w:pPr>
              <w:pStyle w:val="null3"/>
              <w:jc w:val="left"/>
            </w:pPr>
            <w:r>
              <w:rPr>
                <w:rFonts w:ascii="仿宋_GB2312" w:hAnsi="仿宋_GB2312" w:cs="仿宋_GB2312" w:eastAsia="仿宋_GB2312"/>
                <w:sz w:val="21"/>
              </w:rPr>
              <w:t>C.阻拦设备运行时，客户端应有模拟动画；</w:t>
            </w:r>
          </w:p>
          <w:p>
            <w:pPr>
              <w:pStyle w:val="null3"/>
              <w:jc w:val="left"/>
            </w:pPr>
            <w:r>
              <w:rPr>
                <w:rFonts w:ascii="仿宋_GB2312" w:hAnsi="仿宋_GB2312" w:cs="仿宋_GB2312" w:eastAsia="仿宋_GB2312"/>
                <w:sz w:val="21"/>
              </w:rPr>
              <w:t>D.可分组操作阻拦设备，也可“一键”操作所有阻拦设备升降；</w:t>
            </w:r>
          </w:p>
          <w:p>
            <w:pPr>
              <w:pStyle w:val="null3"/>
              <w:jc w:val="left"/>
            </w:pPr>
            <w:r>
              <w:rPr>
                <w:rFonts w:ascii="仿宋_GB2312" w:hAnsi="仿宋_GB2312" w:cs="仿宋_GB2312" w:eastAsia="仿宋_GB2312"/>
                <w:sz w:val="21"/>
              </w:rPr>
              <w:t>E.使用手控按钮盒或者遥控器操作阻拦设备上升或下降后，客户端也应及时切换显示阻拦设备升降运行状态；</w:t>
            </w:r>
          </w:p>
          <w:p>
            <w:pPr>
              <w:pStyle w:val="null3"/>
              <w:jc w:val="left"/>
            </w:pPr>
            <w:r>
              <w:rPr>
                <w:rFonts w:ascii="仿宋_GB2312" w:hAnsi="仿宋_GB2312" w:cs="仿宋_GB2312" w:eastAsia="仿宋_GB2312"/>
                <w:sz w:val="21"/>
              </w:rPr>
              <w:t>10.电控制系统安全性：</w:t>
            </w:r>
          </w:p>
          <w:p>
            <w:pPr>
              <w:pStyle w:val="null3"/>
              <w:jc w:val="left"/>
            </w:pPr>
            <w:r>
              <w:rPr>
                <w:rFonts w:ascii="仿宋_GB2312" w:hAnsi="仿宋_GB2312" w:cs="仿宋_GB2312" w:eastAsia="仿宋_GB2312"/>
                <w:sz w:val="21"/>
              </w:rPr>
              <w:t>①抗电强度：应符合GB 16796-2009中5.4.3的规定。</w:t>
            </w:r>
          </w:p>
          <w:p>
            <w:pPr>
              <w:pStyle w:val="null3"/>
              <w:jc w:val="left"/>
            </w:pPr>
            <w:r>
              <w:rPr>
                <w:rFonts w:ascii="仿宋_GB2312" w:hAnsi="仿宋_GB2312" w:cs="仿宋_GB2312" w:eastAsia="仿宋_GB2312"/>
                <w:sz w:val="21"/>
              </w:rPr>
              <w:t>②绝缘电阻：应符合GB 16796-2009中5.4.4的规定。</w:t>
            </w:r>
          </w:p>
          <w:p>
            <w:pPr>
              <w:pStyle w:val="null3"/>
              <w:jc w:val="left"/>
            </w:pPr>
            <w:r>
              <w:rPr>
                <w:rFonts w:ascii="仿宋_GB2312" w:hAnsi="仿宋_GB2312" w:cs="仿宋_GB2312" w:eastAsia="仿宋_GB2312"/>
                <w:sz w:val="21"/>
              </w:rPr>
              <w:t>③泄露电流：应符合GB 16796-2009中5.4.6的规定。</w:t>
            </w:r>
          </w:p>
          <w:p>
            <w:pPr>
              <w:pStyle w:val="null3"/>
              <w:jc w:val="left"/>
            </w:pPr>
            <w:r>
              <w:rPr>
                <w:rFonts w:ascii="仿宋_GB2312" w:hAnsi="仿宋_GB2312" w:cs="仿宋_GB2312" w:eastAsia="仿宋_GB2312"/>
                <w:sz w:val="21"/>
              </w:rPr>
              <w:t>三、辅料及施工</w:t>
            </w:r>
          </w:p>
          <w:p>
            <w:pPr>
              <w:pStyle w:val="null3"/>
              <w:jc w:val="left"/>
            </w:pPr>
            <w:r>
              <w:rPr>
                <w:rFonts w:ascii="仿宋_GB2312" w:hAnsi="仿宋_GB2312" w:cs="仿宋_GB2312" w:eastAsia="仿宋_GB2312"/>
                <w:sz w:val="21"/>
              </w:rPr>
              <w:t>15米*1.3（高），警示漆面涂刷，含材料人工。制作渗水层：根据产品外形尺寸挖基础坑，根据现场道路情况确定尺寸；用沙子，碎石子混合后自基坑底部向上垫起做300mm渗水层，渗水层铺平，夯实，防止设备下陷。严禁往柱体周边缝隙内填充泥沙杂物，以免影响柱体正常升降。（如条件具备，可选10mm以下的碎石子，可不使用沙子），设备调平：</w:t>
            </w:r>
          </w:p>
          <w:p>
            <w:pPr>
              <w:pStyle w:val="null3"/>
              <w:jc w:val="left"/>
            </w:pPr>
            <w:r>
              <w:rPr>
                <w:rFonts w:ascii="仿宋_GB2312" w:hAnsi="仿宋_GB2312" w:cs="仿宋_GB2312" w:eastAsia="仿宋_GB2312"/>
                <w:sz w:val="21"/>
              </w:rPr>
              <w:t>1、卸下产品外筒找平：用内六角将产品外桶卸下，放到渗水层上，调整外桶水平度，将外筒上表面与地平面水平。将升降柱固定在初步凝固的排水垫层上，调整升降柱水平度，确保设备排水口与排水垫层三通对齐，升降柱表面高于地面2~5mm（非常重要）。升降柱底部周围回填少量碎石、混凝土进行初步固定。</w:t>
            </w:r>
          </w:p>
          <w:p>
            <w:pPr>
              <w:pStyle w:val="null3"/>
              <w:jc w:val="left"/>
            </w:pPr>
            <w:r>
              <w:rPr>
                <w:rFonts w:ascii="仿宋_GB2312" w:hAnsi="仿宋_GB2312" w:cs="仿宋_GB2312" w:eastAsia="仿宋_GB2312"/>
                <w:sz w:val="21"/>
              </w:rPr>
              <w:t>2、预埋线管：根据外桶表面预留的出线孔的位置预埋穿线管。穿线管的直径根据升降柱的根数确定，电控箱需配一根3*2.5的软芯电缆线每根升降柱需要的线缆的规格为7*1.5，具体使用应根据采购人的需要和配电的不同，在施工前确定。</w:t>
            </w:r>
          </w:p>
          <w:p>
            <w:pPr>
              <w:pStyle w:val="null3"/>
              <w:jc w:val="left"/>
            </w:pPr>
            <w:r>
              <w:rPr>
                <w:rFonts w:ascii="仿宋_GB2312" w:hAnsi="仿宋_GB2312" w:cs="仿宋_GB2312" w:eastAsia="仿宋_GB2312"/>
                <w:sz w:val="21"/>
              </w:rPr>
              <w:t>3、焊接预埋桶加固钢筋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1）钢筋焊接工艺流程：电缆线铺设好后须再次确认预埋桶与基础沟上方交叉线，高度、垂直、同心水平后开始焊接。</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第一层；以预埋桶为中心用钢筋焊成井字型固定架，焊接牢固共焊三层，要求钢筋两头插入基础沟四壁土内，第一层距预埋桶底部共30cm，焊接好后再次校正预埋桶，确定准备好后在焊接第二层，否则第二层焊接好后将无法校正预埋桶。第二层方式和第一次一样，焊接在预埋桶中间部位，第三次距预埋桶上部20cm。</w:t>
            </w:r>
          </w:p>
          <w:p>
            <w:pPr>
              <w:pStyle w:val="null3"/>
              <w:jc w:val="left"/>
            </w:pPr>
            <w:r>
              <w:rPr>
                <w:rFonts w:ascii="仿宋_GB2312" w:hAnsi="仿宋_GB2312" w:cs="仿宋_GB2312" w:eastAsia="仿宋_GB2312"/>
                <w:sz w:val="21"/>
              </w:rPr>
              <w:t>4、浇筑混凝土：确定预埋桶钢筋焊牢固，把接地线接好，先回填土20cm压实，防止混凝土渗入地下渗水层中，再浇注混凝土。浇筑高度以路面以下预留10cm为好，预留空间用于恢复原始路面及其他路面设计方案，开挖的路面及海绵工程，要全部恢复成原样。</w:t>
            </w:r>
          </w:p>
          <w:p>
            <w:pPr>
              <w:pStyle w:val="null3"/>
              <w:jc w:val="left"/>
            </w:pPr>
            <w:r>
              <w:rPr>
                <w:rFonts w:ascii="仿宋_GB2312" w:hAnsi="仿宋_GB2312" w:cs="仿宋_GB2312" w:eastAsia="仿宋_GB2312"/>
                <w:sz w:val="21"/>
              </w:rPr>
              <w:t>5、回填采用混凝土或土（必须夯实）回填至距离地面300mm位置，并确保升降柱与地面平行。为防止混凝土、废土溅入升降柱顶部，可用塑料薄膜套住升降柱顶部。浇筑完毕后用美工刀划开薄膜即可。</w:t>
            </w:r>
          </w:p>
          <w:p>
            <w:pPr>
              <w:pStyle w:val="null3"/>
              <w:jc w:val="left"/>
            </w:pPr>
            <w:r>
              <w:rPr>
                <w:rFonts w:ascii="仿宋_GB2312" w:hAnsi="仿宋_GB2312" w:cs="仿宋_GB2312" w:eastAsia="仿宋_GB2312"/>
                <w:sz w:val="21"/>
              </w:rPr>
              <w:t>6、路面恢复道路面层以校门口原状材料恢复。</w:t>
            </w:r>
          </w:p>
          <w:p>
            <w:pPr>
              <w:pStyle w:val="null3"/>
              <w:jc w:val="left"/>
            </w:pPr>
            <w:r>
              <w:rPr>
                <w:rFonts w:ascii="仿宋_GB2312" w:hAnsi="仿宋_GB2312" w:cs="仿宋_GB2312" w:eastAsia="仿宋_GB2312"/>
                <w:sz w:val="21"/>
              </w:rPr>
              <w:t>四、光纤敷设</w:t>
            </w:r>
          </w:p>
          <w:p>
            <w:pPr>
              <w:pStyle w:val="null3"/>
              <w:jc w:val="left"/>
            </w:pPr>
            <w:r>
              <w:rPr>
                <w:rFonts w:ascii="仿宋_GB2312" w:hAnsi="仿宋_GB2312" w:cs="仿宋_GB2312" w:eastAsia="仿宋_GB2312"/>
                <w:sz w:val="21"/>
              </w:rPr>
              <w:t>光纤敷设、测试熔接</w:t>
            </w:r>
            <w:r>
              <w:rPr>
                <w:rFonts w:ascii="仿宋_GB2312" w:hAnsi="仿宋_GB2312" w:cs="仿宋_GB2312" w:eastAsia="仿宋_GB2312"/>
                <w:sz w:val="21"/>
              </w:rPr>
              <w:t>200米</w:t>
            </w:r>
          </w:p>
          <w:p>
            <w:pPr>
              <w:pStyle w:val="null3"/>
              <w:jc w:val="left"/>
            </w:pPr>
            <w:r>
              <w:rPr>
                <w:rFonts w:ascii="仿宋_GB2312" w:hAnsi="仿宋_GB2312" w:cs="仿宋_GB2312" w:eastAsia="仿宋_GB2312"/>
                <w:sz w:val="21"/>
              </w:rPr>
              <w:t>五、地面重新修复硬化部分</w:t>
            </w:r>
          </w:p>
          <w:p>
            <w:pPr>
              <w:pStyle w:val="null3"/>
              <w:jc w:val="left"/>
            </w:pPr>
            <w:r>
              <w:rPr>
                <w:rFonts w:ascii="仿宋_GB2312" w:hAnsi="仿宋_GB2312" w:cs="仿宋_GB2312" w:eastAsia="仿宋_GB2312"/>
                <w:sz w:val="21"/>
              </w:rPr>
              <w:t>挖除旧路面：破除地面（</w:t>
            </w:r>
            <w:r>
              <w:rPr>
                <w:rFonts w:ascii="仿宋_GB2312" w:hAnsi="仿宋_GB2312" w:cs="仿宋_GB2312" w:eastAsia="仿宋_GB2312"/>
                <w:sz w:val="21"/>
              </w:rPr>
              <w:t>150平方米）</w:t>
            </w:r>
          </w:p>
          <w:p>
            <w:pPr>
              <w:pStyle w:val="null3"/>
              <w:jc w:val="left"/>
            </w:pPr>
            <w:r>
              <w:rPr>
                <w:rFonts w:ascii="仿宋_GB2312" w:hAnsi="仿宋_GB2312" w:cs="仿宋_GB2312" w:eastAsia="仿宋_GB2312"/>
                <w:sz w:val="21"/>
              </w:rPr>
              <w:t>1、土壤类别：一、二类土</w:t>
            </w:r>
          </w:p>
          <w:p>
            <w:pPr>
              <w:pStyle w:val="null3"/>
              <w:jc w:val="left"/>
            </w:pPr>
            <w:r>
              <w:rPr>
                <w:rFonts w:ascii="仿宋_GB2312" w:hAnsi="仿宋_GB2312" w:cs="仿宋_GB2312" w:eastAsia="仿宋_GB2312"/>
                <w:sz w:val="21"/>
              </w:rPr>
              <w:t>2、挖土深度：0.6m以内</w:t>
            </w:r>
          </w:p>
          <w:p>
            <w:pPr>
              <w:pStyle w:val="null3"/>
              <w:jc w:val="left"/>
            </w:pPr>
            <w:r>
              <w:rPr>
                <w:rFonts w:ascii="仿宋_GB2312" w:hAnsi="仿宋_GB2312" w:cs="仿宋_GB2312" w:eastAsia="仿宋_GB2312"/>
                <w:sz w:val="21"/>
              </w:rPr>
              <w:t>管道下移：市政自来水管道更换、管道下移地面硬化：灰土基础夯实垫层</w:t>
            </w:r>
            <w:r>
              <w:rPr>
                <w:rFonts w:ascii="仿宋_GB2312" w:hAnsi="仿宋_GB2312" w:cs="仿宋_GB2312" w:eastAsia="仿宋_GB2312"/>
                <w:sz w:val="21"/>
              </w:rPr>
              <w:t>25cm厚，混凝土表面15cm厚，钢筋基础；双层沥青敷设，厚度15cm。</w:t>
            </w:r>
          </w:p>
          <w:p>
            <w:pPr>
              <w:pStyle w:val="null3"/>
              <w:jc w:val="left"/>
            </w:pPr>
            <w:r>
              <w:rPr>
                <w:rFonts w:ascii="仿宋_GB2312" w:hAnsi="仿宋_GB2312" w:cs="仿宋_GB2312" w:eastAsia="仿宋_GB2312"/>
                <w:sz w:val="21"/>
              </w:rPr>
              <w:t>电力缆、通信线缆下沉移动，包含电力、通信部门协调施工手续办理、文明施工措施（围挡）</w:t>
            </w:r>
          </w:p>
          <w:p>
            <w:pPr>
              <w:pStyle w:val="null3"/>
              <w:jc w:val="left"/>
            </w:pPr>
            <w:r>
              <w:rPr>
                <w:rFonts w:ascii="仿宋_GB2312" w:hAnsi="仿宋_GB2312" w:cs="仿宋_GB2312" w:eastAsia="仿宋_GB2312"/>
                <w:sz w:val="21"/>
              </w:rPr>
              <w:t>（备注：在施工过程中，若不慎挖断线缆、管道等，导致损坏，施工方应承担全部责任，并负责修复及相关损失的赔偿，与校方无关。）</w:t>
            </w:r>
          </w:p>
          <w:p>
            <w:pPr>
              <w:pStyle w:val="null3"/>
              <w:jc w:val="left"/>
            </w:pPr>
            <w:r>
              <w:rPr>
                <w:rFonts w:ascii="仿宋_GB2312" w:hAnsi="仿宋_GB2312" w:cs="仿宋_GB2312" w:eastAsia="仿宋_GB2312"/>
                <w:sz w:val="21"/>
              </w:rPr>
              <w:t>六</w:t>
            </w:r>
            <w:r>
              <w:rPr>
                <w:rFonts w:ascii="仿宋_GB2312" w:hAnsi="仿宋_GB2312" w:cs="仿宋_GB2312" w:eastAsia="仿宋_GB2312"/>
                <w:sz w:val="21"/>
              </w:rPr>
              <w:t>、</w:t>
            </w:r>
            <w:r>
              <w:rPr>
                <w:rFonts w:ascii="仿宋_GB2312" w:hAnsi="仿宋_GB2312" w:cs="仿宋_GB2312" w:eastAsia="仿宋_GB2312"/>
                <w:sz w:val="21"/>
              </w:rPr>
              <w:t>采购需求</w:t>
            </w:r>
          </w:p>
          <w:p>
            <w:pPr>
              <w:pStyle w:val="null3"/>
              <w:jc w:val="left"/>
            </w:pPr>
            <w:r>
              <w:rPr>
                <w:rFonts w:ascii="仿宋_GB2312" w:hAnsi="仿宋_GB2312" w:cs="仿宋_GB2312" w:eastAsia="仿宋_GB2312"/>
                <w:sz w:val="21"/>
              </w:rPr>
              <w:t>防撞柱</w:t>
            </w:r>
            <w:r>
              <w:rPr>
                <w:rFonts w:ascii="仿宋_GB2312" w:hAnsi="仿宋_GB2312" w:cs="仿宋_GB2312" w:eastAsia="仿宋_GB2312"/>
                <w:sz w:val="21"/>
              </w:rPr>
              <w:t>10个；控制器 1套；辅材及施工 1项；光纤敷设 1项；地面重新修复硬化部分1项目。</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13日历天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西安市雁塔区第一中学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工程验收合格后，设备安装调试、质量检查等最终验收合格后付款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达到采购人验收合格标准，并参照国家及行业相关标准。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竣工验收合格之日起质保期3年。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一般与合同款项的支付相关，注意不要超出《民法典》中对于违约的责任上限。如若发生争议，双方应积极协调，尽快处理。如协调无果应当在发生合同所在地法院进行诉讼。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 资格证明文件.docx 商务、技术文件.docx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提供2024年度经审计的完整财务报告(成立时间至提交谈判文件截止时间不足一年的可提供成立后任意时段的资产负债表)或谈判截止日前六个月内基本存款账户开户银行出具的资信证明(附开户许可证或开户证明)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谈判文件截止时间不足一年的可提供成立后任意时段的资产负债表)或谈判截止日前六个月内基本存款账户开户银行出具的资信证明(附开户许可证或开户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提供谈判截止日前六个月内任意一个月的纳税证明或完税证明(增值税、印花税、城市维护建设费、企业所得税等一种或多种税种)，依法免税的单位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社会保险缴纳的凭证</w:t>
            </w:r>
          </w:p>
        </w:tc>
        <w:tc>
          <w:tcPr>
            <w:tcW w:type="dxa" w:w="3322"/>
          </w:tcPr>
          <w:p>
            <w:pPr>
              <w:pStyle w:val="null3"/>
            </w:pPr>
            <w:r>
              <w:rPr>
                <w:rFonts w:ascii="仿宋_GB2312" w:hAnsi="仿宋_GB2312" w:cs="仿宋_GB2312" w:eastAsia="仿宋_GB2312"/>
              </w:rPr>
              <w:t>提供谈判截止日前六个月内任意一个月的社保资金交纳证明，依法不需要缴纳社保资金的单位提供相关证明材料。供应商需在项目电子化交易系统中技要求上传相应证明文件并进行电子签章;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响应文件封面 商务、技术文件.docx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谈判总报价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响应文件未出现竞争性谈判文件、法律法规规定的无效响应情形</w:t>
            </w:r>
          </w:p>
        </w:tc>
        <w:tc>
          <w:tcPr>
            <w:tcW w:type="dxa" w:w="1661"/>
          </w:tcPr>
          <w:p>
            <w:pPr>
              <w:pStyle w:val="null3"/>
            </w:pPr>
            <w:r>
              <w:rPr>
                <w:rFonts w:ascii="仿宋_GB2312" w:hAnsi="仿宋_GB2312" w:cs="仿宋_GB2312" w:eastAsia="仿宋_GB2312"/>
              </w:rPr>
              <w:t>响应文件封面 资格证明文件.docx 商务、技术文件.docx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详见附件：商务、技术文件.docx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