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版本号：SXLZ-2025-15620250807001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西安市雁塔图书馆室内装饰服务项目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SXLZ-2025-156</w:t>
      </w:r>
      <w:r>
        <w:br/>
      </w:r>
      <w:r>
        <w:br/>
      </w:r>
      <w:r>
        <w:br/>
      </w:r>
    </w:p>
    <w:p>
      <w:pPr>
        <w:pStyle w:val="null3"/>
        <w:jc w:val="center"/>
        <w:outlineLvl w:val="2"/>
      </w:pPr>
      <w:r>
        <w:rPr>
          <w:rFonts w:ascii="仿宋_GB2312" w:hAnsi="仿宋_GB2312" w:cs="仿宋_GB2312" w:eastAsia="仿宋_GB2312"/>
          <w:sz w:val="28"/>
          <w:b/>
        </w:rPr>
        <w:t>西安市雁塔区文化和旅游体育局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西安市雁塔区文化和旅游体育局</w:t>
      </w:r>
      <w:r>
        <w:rPr>
          <w:rFonts w:ascii="仿宋_GB2312" w:hAnsi="仿宋_GB2312" w:cs="仿宋_GB2312" w:eastAsia="仿宋_GB2312"/>
        </w:rPr>
        <w:t>委托，拟对</w:t>
      </w:r>
      <w:r>
        <w:rPr>
          <w:rFonts w:ascii="仿宋_GB2312" w:hAnsi="仿宋_GB2312" w:cs="仿宋_GB2312" w:eastAsia="仿宋_GB2312"/>
        </w:rPr>
        <w:t>西安市雁塔图书馆室内装饰服务项目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西安市雁塔图书馆室内装饰服务项目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本项目主要对雁塔区图书馆室内软装进行设计制作并安装，服务内容包括墙面墙体彩绘设计、馆内安全标识牌设计制作安装等。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采购包1（西安市雁塔图书馆室内装饰服务项目）：属于专门面向中小企业采购。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1、授权委托：非法人参加磋商，须出具法定代表人授权书（附法定代表人、被授权人身份证复印件）及授权代表身份证；法定代表人参加磋商的，须提供法定代表人身份证明书及身份证；</w:t>
      </w:r>
    </w:p>
    <w:p>
      <w:pPr>
        <w:pStyle w:val="null3"/>
      </w:pPr>
      <w:r>
        <w:rPr>
          <w:rFonts w:ascii="仿宋_GB2312" w:hAnsi="仿宋_GB2312" w:cs="仿宋_GB2312" w:eastAsia="仿宋_GB2312"/>
        </w:rPr>
        <w:t>2、信用查询：供应商不得为“信用中国”网站(http://www.creditchina.gov.cn)列入“失信被执行人和重大税收违法失信主体”的供应商；不得为中国政府采购网(http://www.ccgp.gov.cn)列入“政府采购严重违法失信行为记录名单”中的供应商</w:t>
      </w:r>
    </w:p>
    <w:p>
      <w:pPr>
        <w:pStyle w:val="null3"/>
      </w:pPr>
      <w:r>
        <w:rPr>
          <w:rFonts w:ascii="仿宋_GB2312" w:hAnsi="仿宋_GB2312" w:cs="仿宋_GB2312" w:eastAsia="仿宋_GB2312"/>
        </w:rPr>
        <w:t>3、企业关联声明：单位负责人为同一人或者存在直接控股、管理关系的不同投标人，不得参加同一招标项目的投标活动</w:t>
      </w:r>
    </w:p>
    <w:p>
      <w:pPr>
        <w:pStyle w:val="null3"/>
      </w:pPr>
      <w:r>
        <w:rPr>
          <w:rFonts w:ascii="仿宋_GB2312" w:hAnsi="仿宋_GB2312" w:cs="仿宋_GB2312" w:eastAsia="仿宋_GB2312"/>
        </w:rPr>
        <w:t>4、业绩：供应商近三年（2022年8月1日至今）需具有类似项目业绩（以中标通知书或合同主要信息页为准）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西安市雁塔区电子城街道电子二路32号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15399230713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调整后的招标代理服务收费标准》(发改价格〔2011〕534号)的规定收取（不足5000元的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西安市雁塔区文化和旅游体育局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方招标文件的质量要求和技术指标、投标方的投标文件及承诺与合同约定标准进行验收；采购方、投标方双方如对质量要求和技术指标的约定标准有相互抵触或异议的事项，由采购方在招标与投标文件中按质量要求和技术指标比较优胜的原则确定该项的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联系电话：15399230713</w:t>
      </w:r>
    </w:p>
    <w:p>
      <w:pPr>
        <w:pStyle w:val="null3"/>
      </w:pPr>
      <w:r>
        <w:rPr>
          <w:rFonts w:ascii="仿宋_GB2312" w:hAnsi="仿宋_GB2312" w:cs="仿宋_GB2312" w:eastAsia="仿宋_GB2312"/>
        </w:rPr>
        <w:t>地址：陕西省西安市国家民用航天产业基地神舟五路与东长安街交汇处东南角航天城中心广场1号楼708室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本项目主要对雁塔区图书馆室内软装进行设计制作并安装，服务内容包括墙面墙体彩绘设计、馆内安全标识牌设计制作安装等。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雁塔区图书馆室内装饰服务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标的名称：雁塔区图书馆室内装饰服务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一、</w:t>
            </w:r>
            <w:r>
              <w:rPr>
                <w:rFonts w:ascii="仿宋_GB2312" w:hAnsi="仿宋_GB2312" w:cs="仿宋_GB2312" w:eastAsia="仿宋_GB2312"/>
                <w:sz w:val="16"/>
                <w:b/>
              </w:rPr>
              <w:t>项目概况</w:t>
            </w:r>
          </w:p>
          <w:p>
            <w:pPr>
              <w:pStyle w:val="null3"/>
              <w:ind w:firstLine="420"/>
              <w:jc w:val="both"/>
            </w:pPr>
            <w:r>
              <w:rPr>
                <w:rFonts w:ascii="仿宋_GB2312" w:hAnsi="仿宋_GB2312" w:cs="仿宋_GB2312" w:eastAsia="仿宋_GB2312"/>
                <w:sz w:val="16"/>
                <w:shd w:fill="FFFFFF" w:val="clear"/>
              </w:rPr>
              <w:t>本项目主要对雁塔区图书馆室内</w:t>
            </w:r>
            <w:r>
              <w:rPr>
                <w:rFonts w:ascii="仿宋_GB2312" w:hAnsi="仿宋_GB2312" w:cs="仿宋_GB2312" w:eastAsia="仿宋_GB2312"/>
                <w:sz w:val="16"/>
                <w:shd w:fill="FFFFFF" w:val="clear"/>
              </w:rPr>
              <w:t>软装进行设计制作并安装，服务内容包括</w:t>
            </w:r>
            <w:r>
              <w:rPr>
                <w:rFonts w:ascii="仿宋_GB2312" w:hAnsi="仿宋_GB2312" w:cs="仿宋_GB2312" w:eastAsia="仿宋_GB2312"/>
                <w:sz w:val="16"/>
                <w:shd w:fill="FFFFFF" w:val="clear"/>
              </w:rPr>
              <w:t>墙面墙体彩绘</w:t>
            </w:r>
            <w:r>
              <w:rPr>
                <w:rFonts w:ascii="仿宋_GB2312" w:hAnsi="仿宋_GB2312" w:cs="仿宋_GB2312" w:eastAsia="仿宋_GB2312"/>
                <w:sz w:val="16"/>
                <w:shd w:fill="FFFFFF" w:val="clear"/>
              </w:rPr>
              <w:t>设计</w:t>
            </w:r>
            <w:r>
              <w:rPr>
                <w:rFonts w:ascii="仿宋_GB2312" w:hAnsi="仿宋_GB2312" w:cs="仿宋_GB2312" w:eastAsia="仿宋_GB2312"/>
                <w:sz w:val="16"/>
                <w:shd w:fill="FFFFFF" w:val="clear"/>
              </w:rPr>
              <w:t>、馆内安全标识牌</w:t>
            </w:r>
            <w:r>
              <w:rPr>
                <w:rFonts w:ascii="仿宋_GB2312" w:hAnsi="仿宋_GB2312" w:cs="仿宋_GB2312" w:eastAsia="仿宋_GB2312"/>
                <w:sz w:val="16"/>
                <w:shd w:fill="FFFFFF" w:val="clear"/>
              </w:rPr>
              <w:t>设计制作安装</w:t>
            </w:r>
            <w:r>
              <w:rPr>
                <w:rFonts w:ascii="仿宋_GB2312" w:hAnsi="仿宋_GB2312" w:cs="仿宋_GB2312" w:eastAsia="仿宋_GB2312"/>
                <w:sz w:val="16"/>
                <w:shd w:fill="FFFFFF" w:val="clear"/>
              </w:rPr>
              <w:t>等</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b/>
              </w:rPr>
              <w:t>二、服务期限</w:t>
            </w:r>
          </w:p>
          <w:p>
            <w:pPr>
              <w:pStyle w:val="null3"/>
              <w:ind w:firstLine="420"/>
              <w:jc w:val="both"/>
            </w:pPr>
            <w:r>
              <w:rPr>
                <w:rFonts w:ascii="仿宋_GB2312" w:hAnsi="仿宋_GB2312" w:cs="仿宋_GB2312" w:eastAsia="仿宋_GB2312"/>
                <w:sz w:val="16"/>
              </w:rPr>
              <w:t>自合同签订之日起30日历天。</w:t>
            </w:r>
          </w:p>
          <w:p>
            <w:pPr>
              <w:pStyle w:val="null3"/>
            </w:pPr>
            <w:r>
              <w:rPr>
                <w:rFonts w:ascii="仿宋_GB2312" w:hAnsi="仿宋_GB2312" w:cs="仿宋_GB2312" w:eastAsia="仿宋_GB2312"/>
                <w:sz w:val="16"/>
                <w:b/>
              </w:rPr>
              <w:t>三、服务</w:t>
            </w:r>
            <w:r>
              <w:rPr>
                <w:rFonts w:ascii="仿宋_GB2312" w:hAnsi="仿宋_GB2312" w:cs="仿宋_GB2312" w:eastAsia="仿宋_GB2312"/>
                <w:sz w:val="16"/>
                <w:b/>
              </w:rPr>
              <w:t>要求</w:t>
            </w:r>
          </w:p>
          <w:p>
            <w:pPr>
              <w:pStyle w:val="null3"/>
              <w:jc w:val="both"/>
            </w:pPr>
            <w:r>
              <w:rPr>
                <w:rFonts w:ascii="仿宋_GB2312" w:hAnsi="仿宋_GB2312" w:cs="仿宋_GB2312" w:eastAsia="仿宋_GB2312"/>
                <w:sz w:val="16"/>
              </w:rPr>
              <w:t xml:space="preserve">   1.质量标准：符合国家及行业现行验收规范合格标准；</w:t>
            </w:r>
          </w:p>
          <w:p>
            <w:pPr>
              <w:pStyle w:val="null3"/>
            </w:pPr>
            <w:r>
              <w:rPr>
                <w:rFonts w:ascii="仿宋_GB2312" w:hAnsi="仿宋_GB2312" w:cs="仿宋_GB2312" w:eastAsia="仿宋_GB2312"/>
                <w:sz w:val="16"/>
              </w:rPr>
              <w:t xml:space="preserve">   2.本项目主要针对图书馆内不同区域进行软装设计，设计成果经采购人审核完成后按照设计要求完成制作和安装。具体区域及内容如下：</w:t>
            </w:r>
          </w:p>
          <w:tbl>
            <w:tblPr>
              <w:tblBorders>
                <w:top w:val="none" w:color="000000" w:sz="4"/>
                <w:left w:val="none" w:color="000000" w:sz="4"/>
                <w:bottom w:val="none" w:color="000000" w:sz="4"/>
                <w:right w:val="none" w:color="000000" w:sz="4"/>
                <w:insideH w:val="none"/>
                <w:insideV w:val="none"/>
              </w:tblBorders>
            </w:tblPr>
            <w:tblGrid>
              <w:gridCol w:w="1421"/>
              <w:gridCol w:w="1193"/>
              <w:gridCol w:w="939"/>
              <w:gridCol w:w="793"/>
              <w:gridCol w:w="742"/>
            </w:tblGrid>
            <w:tr>
              <w:tc>
                <w:tcPr>
                  <w:tcW w:type="dxa" w:w="14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分区</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用途</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单位</w:t>
                  </w:r>
                </w:p>
              </w:tc>
              <w:tc>
                <w:tcPr>
                  <w:tcW w:type="dxa" w:w="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数量</w:t>
                  </w:r>
                </w:p>
              </w:tc>
              <w:tc>
                <w:tcPr>
                  <w:tcW w:type="dxa" w:w="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备注</w:t>
                  </w:r>
                </w:p>
              </w:tc>
            </w:tr>
            <w:tr>
              <w:tc>
                <w:tcPr>
                  <w:tcW w:type="dxa" w:w="5088"/>
                  <w:gridSpan w:val="5"/>
                  <w:tcBorders>
                    <w:top w:val="none" w:color="000000" w:sz="4"/>
                    <w:left w:val="single" w:color="000000" w:sz="4"/>
                    <w:bottom w:val="single" w:color="000000" w:sz="4"/>
                    <w:right w:val="single" w:color="000000" w:sz="4"/>
                  </w:tcBorders>
                  <w:shd w:fill="E5B8B7"/>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一层装饰</w:t>
                  </w: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DP点</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装饰</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展板</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说明</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088"/>
                  <w:gridSpan w:val="5"/>
                  <w:tcBorders>
                    <w:top w:val="none" w:color="000000" w:sz="4"/>
                    <w:left w:val="single" w:color="000000" w:sz="4"/>
                    <w:bottom w:val="single" w:color="000000" w:sz="4"/>
                    <w:right w:val="single" w:color="000000" w:sz="4"/>
                  </w:tcBorders>
                  <w:shd w:fill="E5B8B7"/>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三楼中文社会科学文献借阅区</w:t>
                  </w: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入口欢迎墙</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软装</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DP点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装饰</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吊顶装饰</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软装</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彩绘</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装饰</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处</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柱子立体画面</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装饰</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墙体装饰</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分区牌</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提醒</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柱子包边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安全防撞</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088"/>
                  <w:gridSpan w:val="5"/>
                  <w:tcBorders>
                    <w:top w:val="none" w:color="000000" w:sz="4"/>
                    <w:left w:val="single" w:color="000000" w:sz="4"/>
                    <w:bottom w:val="single" w:color="000000" w:sz="4"/>
                    <w:right w:val="single" w:color="000000" w:sz="4"/>
                  </w:tcBorders>
                  <w:shd w:fill="E5B8B7"/>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四楼儿童区</w:t>
                  </w: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入口欢迎墙</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装饰</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顶部装饰</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DP点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彩绘</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柱子立体画面</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说明</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墙体装饰</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展示效果</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面</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分区软装</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指引</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柱子包边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安全防撞</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088"/>
                  <w:gridSpan w:val="5"/>
                  <w:tcBorders>
                    <w:top w:val="none" w:color="000000" w:sz="4"/>
                    <w:left w:val="single" w:color="000000" w:sz="4"/>
                    <w:bottom w:val="single" w:color="000000" w:sz="4"/>
                    <w:right w:val="single" w:color="000000" w:sz="4"/>
                  </w:tcBorders>
                  <w:shd w:fill="E5B8B7"/>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四楼多媒体区</w:t>
                  </w: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DP点</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柱子立体画面</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软装</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墙体装饰</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展示效果</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分区软装</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指引</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柱子包边</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安全防撞</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易拉宝</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指引</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088"/>
                  <w:gridSpan w:val="5"/>
                  <w:tcBorders>
                    <w:top w:val="none" w:color="000000" w:sz="4"/>
                    <w:left w:val="single" w:color="000000" w:sz="4"/>
                    <w:bottom w:val="single" w:color="000000" w:sz="4"/>
                    <w:right w:val="single" w:color="000000" w:sz="4"/>
                  </w:tcBorders>
                  <w:shd w:fill="E5B8B7"/>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馆内标语设计</w:t>
                  </w: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三层</w:t>
                  </w:r>
                </w:p>
              </w:tc>
              <w:tc>
                <w:tcPr>
                  <w:tcW w:type="dxa" w:w="11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安全标识</w:t>
                  </w:r>
                </w:p>
              </w:tc>
              <w:tc>
                <w:tcPr>
                  <w:tcW w:type="dxa" w:w="9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四层</w:t>
                  </w:r>
                </w:p>
              </w:tc>
              <w:tc>
                <w:tcPr>
                  <w:tcW w:type="dxa" w:w="11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安全标识</w:t>
                  </w: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c>
                <w:tcPr>
                  <w:tcW w:type="dxa" w:w="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16"/>
                <w:b/>
              </w:rPr>
              <w:t>四、付款方法</w:t>
            </w:r>
          </w:p>
          <w:p>
            <w:pPr>
              <w:pStyle w:val="null3"/>
              <w:ind w:firstLine="420"/>
              <w:jc w:val="both"/>
            </w:pPr>
            <w:r>
              <w:rPr>
                <w:rFonts w:ascii="仿宋_GB2312" w:hAnsi="仿宋_GB2312" w:cs="仿宋_GB2312" w:eastAsia="仿宋_GB2312"/>
                <w:sz w:val="16"/>
              </w:rPr>
              <w:t>供应商完成合同约定的所有服务工作后，经采购人验收合格，达到付款条件起</w:t>
            </w:r>
            <w:r>
              <w:rPr>
                <w:rFonts w:ascii="仿宋_GB2312" w:hAnsi="仿宋_GB2312" w:cs="仿宋_GB2312" w:eastAsia="仿宋_GB2312"/>
                <w:sz w:val="16"/>
              </w:rPr>
              <w:t>10日内，支付合同总金额的100%</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b/>
              </w:rPr>
              <w:t>五、验收标准</w:t>
            </w:r>
          </w:p>
          <w:p>
            <w:pPr>
              <w:pStyle w:val="null3"/>
              <w:ind w:firstLine="420"/>
              <w:jc w:val="both"/>
            </w:pPr>
            <w:r>
              <w:rPr>
                <w:rFonts w:ascii="仿宋_GB2312" w:hAnsi="仿宋_GB2312" w:cs="仿宋_GB2312" w:eastAsia="仿宋_GB2312"/>
                <w:sz w:val="16"/>
              </w:rPr>
              <w:t>1</w:t>
            </w:r>
            <w:r>
              <w:rPr>
                <w:rFonts w:ascii="仿宋_GB2312" w:hAnsi="仿宋_GB2312" w:cs="仿宋_GB2312" w:eastAsia="仿宋_GB2312"/>
                <w:sz w:val="16"/>
              </w:rPr>
              <w:t>、采购方根据合同要求进行验收</w:t>
            </w:r>
            <w:r>
              <w:rPr>
                <w:rFonts w:ascii="仿宋_GB2312" w:hAnsi="仿宋_GB2312" w:cs="仿宋_GB2312" w:eastAsia="仿宋_GB2312"/>
                <w:sz w:val="16"/>
              </w:rPr>
              <w:t>,验收依据为合同文本、招标文件、投标文件以及由双方约定的其他协议类文本。</w:t>
            </w:r>
          </w:p>
          <w:p>
            <w:pPr>
              <w:pStyle w:val="null3"/>
              <w:ind w:firstLine="420"/>
              <w:jc w:val="both"/>
            </w:pPr>
            <w:r>
              <w:rPr>
                <w:rFonts w:ascii="仿宋_GB2312" w:hAnsi="仿宋_GB2312" w:cs="仿宋_GB2312" w:eastAsia="仿宋_GB2312"/>
                <w:sz w:val="16"/>
              </w:rPr>
              <w:t>2、</w:t>
            </w:r>
            <w:r>
              <w:rPr>
                <w:rFonts w:ascii="仿宋_GB2312" w:hAnsi="仿宋_GB2312" w:cs="仿宋_GB2312" w:eastAsia="仿宋_GB2312"/>
                <w:sz w:val="16"/>
              </w:rPr>
              <w:t>验收合格后，填写验收单，并向采购方提交所有资料，以便使用单位日后管理和维护。</w:t>
            </w:r>
          </w:p>
          <w:p>
            <w:pPr>
              <w:pStyle w:val="null3"/>
              <w:ind w:firstLine="420"/>
              <w:jc w:val="both"/>
            </w:pPr>
            <w:r>
              <w:rPr>
                <w:rFonts w:ascii="仿宋_GB2312" w:hAnsi="仿宋_GB2312" w:cs="仿宋_GB2312" w:eastAsia="仿宋_GB2312"/>
                <w:sz w:val="16"/>
              </w:rPr>
              <w:t>3、</w:t>
            </w:r>
            <w:r>
              <w:rPr>
                <w:rFonts w:ascii="仿宋_GB2312" w:hAnsi="仿宋_GB2312" w:cs="仿宋_GB2312" w:eastAsia="仿宋_GB2312"/>
                <w:sz w:val="16"/>
              </w:rPr>
              <w:t>验收由采购方组织，投标方配合进行。验收过程中所产生的费用由投标方承担。</w:t>
            </w:r>
          </w:p>
          <w:p>
            <w:pPr>
              <w:pStyle w:val="null3"/>
              <w:ind w:firstLine="420"/>
              <w:jc w:val="both"/>
            </w:pPr>
            <w:r>
              <w:rPr>
                <w:rFonts w:ascii="仿宋_GB2312" w:hAnsi="仿宋_GB2312" w:cs="仿宋_GB2312" w:eastAsia="仿宋_GB2312"/>
                <w:sz w:val="16"/>
              </w:rPr>
              <w:t>4、</w:t>
            </w:r>
            <w:r>
              <w:rPr>
                <w:rFonts w:ascii="仿宋_GB2312" w:hAnsi="仿宋_GB2312" w:cs="仿宋_GB2312" w:eastAsia="仿宋_GB2312"/>
                <w:sz w:val="16"/>
              </w:rPr>
              <w:t>验收标准：按国家有关规定以及采购方招标文件的质量要求和技术指标、投标方的投标文件及承诺与合同约定标准进行验收；采购方、投标方双方如对质量要求和技术指标的约定标准有相互抵触或异议的事项，由采购方在招标与投标文件中按质量要求和技术指标比较优胜的原则确定该项的约定标准进行验收。</w:t>
            </w:r>
          </w:p>
          <w:p>
            <w:pPr>
              <w:pStyle w:val="null3"/>
              <w:ind w:firstLine="420"/>
              <w:jc w:val="both"/>
            </w:pPr>
            <w:r>
              <w:rPr>
                <w:rFonts w:ascii="仿宋_GB2312" w:hAnsi="仿宋_GB2312" w:cs="仿宋_GB2312" w:eastAsia="仿宋_GB2312"/>
                <w:sz w:val="16"/>
              </w:rPr>
              <w:t>5、</w:t>
            </w:r>
            <w:r>
              <w:rPr>
                <w:rFonts w:ascii="仿宋_GB2312" w:hAnsi="仿宋_GB2312" w:cs="仿宋_GB2312" w:eastAsia="仿宋_GB2312"/>
                <w:sz w:val="16"/>
              </w:rPr>
              <w:t>验收时如发现所交付的服务质量不符合标准及本合同规定之情形者，在限期内做出整改，直至验收合格。整改期间产生的时间延误与有关费用由中标方承担，验收期限相应顺延。</w:t>
            </w:r>
          </w:p>
          <w:p>
            <w:pPr>
              <w:pStyle w:val="null3"/>
              <w:ind w:firstLine="420"/>
              <w:jc w:val="both"/>
            </w:pPr>
            <w:r>
              <w:rPr>
                <w:rFonts w:ascii="仿宋_GB2312" w:hAnsi="仿宋_GB2312" w:cs="仿宋_GB2312" w:eastAsia="仿宋_GB2312"/>
                <w:sz w:val="16"/>
              </w:rPr>
              <w:t>6、如质量验收合格，双方签署质量验收报告。</w:t>
            </w:r>
          </w:p>
          <w:p>
            <w:pPr>
              <w:pStyle w:val="null3"/>
            </w:pPr>
            <w:r>
              <w:rPr>
                <w:rFonts w:ascii="仿宋_GB2312" w:hAnsi="仿宋_GB2312" w:cs="仿宋_GB2312" w:eastAsia="仿宋_GB2312"/>
                <w:sz w:val="16"/>
                <w:b/>
              </w:rPr>
              <w:t>六、违约</w:t>
            </w:r>
            <w:r>
              <w:rPr>
                <w:rFonts w:ascii="仿宋_GB2312" w:hAnsi="仿宋_GB2312" w:cs="仿宋_GB2312" w:eastAsia="仿宋_GB2312"/>
                <w:sz w:val="16"/>
                <w:b/>
              </w:rPr>
              <w:t>责任</w:t>
            </w:r>
          </w:p>
          <w:p>
            <w:pPr>
              <w:pStyle w:val="null3"/>
              <w:ind w:firstLine="420"/>
              <w:jc w:val="both"/>
            </w:pPr>
            <w:r>
              <w:rPr>
                <w:rFonts w:ascii="仿宋_GB2312" w:hAnsi="仿宋_GB2312" w:cs="仿宋_GB2312" w:eastAsia="仿宋_GB2312"/>
                <w:sz w:val="16"/>
              </w:rPr>
              <w:t>按照</w:t>
            </w:r>
            <w:r>
              <w:rPr>
                <w:rFonts w:ascii="仿宋_GB2312" w:hAnsi="仿宋_GB2312" w:cs="仿宋_GB2312" w:eastAsia="仿宋_GB2312"/>
                <w:sz w:val="16"/>
              </w:rPr>
              <w:t>《中华人民共和国民法典》、《中华人民共和国政府采购法》的相关条款和合同约定</w:t>
            </w:r>
            <w:r>
              <w:rPr>
                <w:rFonts w:ascii="仿宋_GB2312" w:hAnsi="仿宋_GB2312" w:cs="仿宋_GB2312" w:eastAsia="仿宋_GB2312"/>
                <w:sz w:val="16"/>
              </w:rPr>
              <w:t>的</w:t>
            </w:r>
            <w:r>
              <w:rPr>
                <w:rFonts w:ascii="仿宋_GB2312" w:hAnsi="仿宋_GB2312" w:cs="仿宋_GB2312" w:eastAsia="仿宋_GB2312"/>
                <w:sz w:val="16"/>
              </w:rPr>
              <w:t>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人员配置需满足本项目实施要求。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设施设备需满足本项目实施要求。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供应商应保质保量保进度，按采购人要求完成本项目所有内容。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雁塔区图书馆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1、采购方根据合同要求进行验收,验收依据为合同文本、招标文件、投标文件以及由双方约定的其他协议类文本。 2、验收合格后，填写验收单，并向采购方提交所有资料，以便使用单位日后管理和维护。 3、验收由采购方组织，投标方配合进行。验收过程中所产生的费用由投标方承担。 4、验收标准：按国家有关规定以及采购方招标文件的质量要求和技术指标、投标方的投标文件及承诺与合同约定标准进行验收；采购方、投标方双方如对质量要求和技术指标的约定标准有相互抵触或异议的事项，由采购方在招标与投标文件中按质量要求和技术指标比较优胜的原则确定该项的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供应商完成合同约定的所有服务工作后，经采购人验收合格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按照《中华人民共和国民法典》、《中华人民共和国政府采购法》的相关条款和合同约定的相关条款执行。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本项目投标报价包含但不限于人工费、制作费、安装费、保险、税金等可能产生的一切费用，一旦成交，采购人不再额外支付其它相关的费用。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供应商资格证明相关资料.docx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供应商资格证明相关资料.docx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非法人参加磋商，须出具法定代表人授权书（附法定代表人、被授权人身份证复印件）及授权代表身份证；法定代表人参加磋商的，须提供法定代表人身份证明书及身份证；</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和重大税收违法失信主体”的供应商；不得为中国政府采购网(http://www.ccgp.gov.cn)列入“政府采购严重违法失信行为记录名单”中的供应商</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供应商资格证明相关资料.docx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供应商近三年（2022年8月1日至今）需具有类似项目业绩（以中标通知书或合同主要信息页为准）</w:t>
            </w:r>
          </w:p>
        </w:tc>
        <w:tc>
          <w:tcPr>
            <w:tcW w:type="dxa" w:w="1661"/>
          </w:tcPr>
          <w:p>
            <w:pPr>
              <w:pStyle w:val="null3"/>
            </w:pPr>
            <w:r>
              <w:rPr>
                <w:rFonts w:ascii="仿宋_GB2312" w:hAnsi="仿宋_GB2312" w:cs="仿宋_GB2312" w:eastAsia="仿宋_GB2312"/>
              </w:rPr>
              <w:t>供应商类似项目业绩一览表.docx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按照文件规定要求签署、盖章。</w:t>
            </w:r>
          </w:p>
        </w:tc>
        <w:tc>
          <w:tcPr>
            <w:tcW w:type="dxa" w:w="1661"/>
          </w:tcPr>
          <w:p>
            <w:pPr>
              <w:pStyle w:val="null3"/>
            </w:pPr>
            <w:r>
              <w:rPr>
                <w:rFonts w:ascii="仿宋_GB2312" w:hAnsi="仿宋_GB2312" w:cs="仿宋_GB2312" w:eastAsia="仿宋_GB2312"/>
              </w:rPr>
              <w:t>响应文件封面 供应商资格证明相关资料.docx 标的清单（分项报价表）.docx 标的清单 报价表 采购需求偏离表.docx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满足本磋商文件中的实质性条款（服务期、服务地点）要求的。</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项目服务方案，方案科学合理，先进，可操作性强，针对性强，完全满足本项目需求的得15-20分；方案较明确，有较好的可操作性，能基本满足本项目需求的得8-14.9分；方案可操作性较差，能基本满足本项目需求的得1-7.9分；不能满足本项目需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技术部分：服务方案.docx</w:t>
            </w:r>
          </w:p>
        </w:tc>
      </w:tr>
      <w:tr>
        <w:tc>
          <w:tcPr>
            <w:tcW w:type="dxa" w:w="831"/>
            <w:vMerge/>
          </w:tcPr>
          <w:p/>
        </w:tc>
        <w:tc>
          <w:tcPr>
            <w:tcW w:type="dxa" w:w="1661"/>
          </w:tcPr>
          <w:p>
            <w:pPr>
              <w:pStyle w:val="null3"/>
            </w:pPr>
            <w:r>
              <w:rPr>
                <w:rFonts w:ascii="仿宋_GB2312" w:hAnsi="仿宋_GB2312" w:cs="仿宋_GB2312" w:eastAsia="仿宋_GB2312"/>
              </w:rPr>
              <w:t>组织管理方案</w:t>
            </w:r>
          </w:p>
        </w:tc>
        <w:tc>
          <w:tcPr>
            <w:tcW w:type="dxa" w:w="2492"/>
          </w:tcPr>
          <w:p>
            <w:pPr>
              <w:pStyle w:val="null3"/>
            </w:pPr>
            <w:r>
              <w:rPr>
                <w:rFonts w:ascii="仿宋_GB2312" w:hAnsi="仿宋_GB2312" w:cs="仿宋_GB2312" w:eastAsia="仿宋_GB2312"/>
              </w:rPr>
              <w:t>提供项目组织管理总体方案，包括组织架构方案、人力配置方案、项目监督方案等，方案科学合理，先进，可操作性强，针对性强，完全满足本项目需求的得6-10分；方案较明确，有较好的可操作性，能基本满足本项目需求的得3-5.9分；方案可操作性较差，能基本满足本项目需求的得1-2.9分；不能满足本项目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供应商针对本项目进度计划合理，可实现度高，各阶段工作进度和衔接情况说明详细，满足采购需求的得6-10分，计划执行、实现程度有待加强的得3-5.9分，计划执行、实现程度差的或无响应说明的得1-2.9分。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技术部分：服务方案.docx</w:t>
            </w:r>
          </w:p>
        </w:tc>
      </w:tr>
      <w:tr>
        <w:tc>
          <w:tcPr>
            <w:tcW w:type="dxa" w:w="831"/>
            <w:vMerge/>
          </w:tcPr>
          <w:p/>
        </w:tc>
        <w:tc>
          <w:tcPr>
            <w:tcW w:type="dxa" w:w="1661"/>
          </w:tcPr>
          <w:p>
            <w:pPr>
              <w:pStyle w:val="null3"/>
            </w:pPr>
            <w:r>
              <w:rPr>
                <w:rFonts w:ascii="仿宋_GB2312" w:hAnsi="仿宋_GB2312" w:cs="仿宋_GB2312" w:eastAsia="仿宋_GB2312"/>
              </w:rPr>
              <w:t>服务工作质量保证措施</w:t>
            </w:r>
          </w:p>
        </w:tc>
        <w:tc>
          <w:tcPr>
            <w:tcW w:type="dxa" w:w="2492"/>
          </w:tcPr>
          <w:p>
            <w:pPr>
              <w:pStyle w:val="null3"/>
            </w:pPr>
            <w:r>
              <w:rPr>
                <w:rFonts w:ascii="仿宋_GB2312" w:hAnsi="仿宋_GB2312" w:cs="仿宋_GB2312" w:eastAsia="仿宋_GB2312"/>
              </w:rPr>
              <w:t>提供本项目工作质量保证相关内容，包括但不限于服务质量承诺、服务响应时限、疫源疫病监测的完全响应承诺经现场评审，分析合理，满足采购需求的得6-10分，措施有待完善的得3-5.9分，措施差的或无响应说明1-2.9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及其他成员组成情况(根据项目负责人及项目组成人员的数量，组成人员结构，专业技术、参与项目的工作经验等)，按响应程度：人员组成科学、专业齐备得6-10分；人员组成较科学、专业较合理得3-5.9分；人员组成一般、专业欠齐备得1-2.9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供应商须提供2022年8月至今类似业绩，以1项类似业绩为基本条件不得分，每增加一项类似业绩得2分，最高10分。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详见附件：供应商资格证明相关资料.docx</w:t>
      </w:r>
    </w:p>
    <w:p>
      <w:pPr>
        <w:pStyle w:val="null3"/>
        <w:ind w:firstLine="960"/>
      </w:pPr>
      <w:r>
        <w:rPr>
          <w:rFonts w:ascii="仿宋_GB2312" w:hAnsi="仿宋_GB2312" w:cs="仿宋_GB2312" w:eastAsia="仿宋_GB2312"/>
        </w:rPr>
        <w:t>详见附件：技术部分：服务方案.docx</w:t>
      </w:r>
    </w:p>
    <w:p>
      <w:pPr>
        <w:pStyle w:val="null3"/>
        <w:ind w:firstLine="960"/>
      </w:pPr>
      <w:r>
        <w:rPr>
          <w:rFonts w:ascii="仿宋_GB2312" w:hAnsi="仿宋_GB2312" w:cs="仿宋_GB2312" w:eastAsia="仿宋_GB2312"/>
        </w:rPr>
        <w:t>详见附件：标的清单（分项报价表）.docx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