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版本号：ZJZC2025072200220250805001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西安市雁塔区姚家村北侧路考古发掘劳务项目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ZJZC20250722002</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西安市雁塔区姚家村北侧路考古发掘劳务项目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ZJZC20250722002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西安市雁塔区姚家村北侧路考古发掘劳务项目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为西安市雁塔区姚家村北侧路考古发掘劳务项目，本项目位于陕西省西安市雁塔区，东邻富源三路，南邻西户线，西邻西安绕城高速，北邻沣东南路；经考古勘探发现河道一条。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采购包1（西安市雁塔区姚家村北侧路考古发掘劳务项目）：属于专门面向中小企业采购。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18729530649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不足6000.00元按6000.00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联系人：董喜峰、裴慢慢、王超</w:t>
      </w:r>
    </w:p>
    <w:p>
      <w:pPr>
        <w:pStyle w:val="null3"/>
      </w:pPr>
      <w:r>
        <w:rPr>
          <w:rFonts w:ascii="仿宋_GB2312" w:hAnsi="仿宋_GB2312" w:cs="仿宋_GB2312" w:eastAsia="仿宋_GB2312"/>
        </w:rPr>
        <w:t>联系电话：18729530649</w:t>
      </w:r>
    </w:p>
    <w:p>
      <w:pPr>
        <w:pStyle w:val="null3"/>
      </w:pPr>
      <w:r>
        <w:rPr>
          <w:rFonts w:ascii="仿宋_GB2312" w:hAnsi="仿宋_GB2312" w:cs="仿宋_GB2312" w:eastAsia="仿宋_GB2312"/>
        </w:rPr>
        <w:t>地址：陕西省西安市新城区长乐中路242号金花新都汇A座写字楼24层06室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本次采购为西安市雁塔区姚家村北侧路考古发掘劳务项目，本项目位于陕西省西安市雁塔区，东邻富源三路，南邻西户线，西邻西安绕城高速，北邻沣东南路；经考古勘探发现河道一条。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1,070,000.00</w:t>
      </w:r>
    </w:p>
    <w:p>
      <w:pPr>
        <w:pStyle w:val="null3"/>
      </w:pPr>
      <w:r>
        <w:rPr>
          <w:rFonts w:ascii="仿宋_GB2312" w:hAnsi="仿宋_GB2312" w:cs="仿宋_GB2312" w:eastAsia="仿宋_GB2312"/>
        </w:rPr>
        <w:t>采购包最高限价（元）: 1,070,000.00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西安市雁塔区姚家村北侧路考古发掘劳务项目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标的名称：西安市雁塔区姚家村北侧路考古发掘劳务项目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18"/>
                <w:b/>
              </w:rPr>
              <w:t>一、</w:t>
            </w:r>
            <w:r>
              <w:rPr>
                <w:rFonts w:ascii="仿宋_GB2312" w:hAnsi="仿宋_GB2312" w:cs="仿宋_GB2312" w:eastAsia="仿宋_GB2312"/>
                <w:sz w:val="18"/>
                <w:b/>
              </w:rPr>
              <w:t>采购</w:t>
            </w:r>
            <w:r>
              <w:rPr>
                <w:rFonts w:ascii="仿宋_GB2312" w:hAnsi="仿宋_GB2312" w:cs="仿宋_GB2312" w:eastAsia="仿宋_GB2312"/>
                <w:sz w:val="18"/>
                <w:b/>
              </w:rPr>
              <w:t>内容</w:t>
            </w:r>
          </w:p>
          <w:p>
            <w:pPr>
              <w:pStyle w:val="null3"/>
              <w:ind w:firstLine="480"/>
              <w:jc w:val="both"/>
            </w:pPr>
            <w:r>
              <w:rPr>
                <w:rFonts w:ascii="仿宋_GB2312" w:hAnsi="仿宋_GB2312" w:cs="仿宋_GB2312" w:eastAsia="仿宋_GB2312"/>
                <w:sz w:val="18"/>
              </w:rPr>
              <w:t>西安市雁塔区姚家村北侧路考古发掘劳务项目，本项目位于陕西省西安市雁塔区，东邻富源三路，南邻西户线，西邻西安绕城高速，北邻沣东南路；经考古勘探发现河道一条。</w:t>
            </w:r>
          </w:p>
          <w:p>
            <w:pPr>
              <w:pStyle w:val="null3"/>
              <w:ind w:firstLine="480"/>
              <w:jc w:val="both"/>
            </w:pPr>
            <w:r>
              <w:rPr>
                <w:rFonts w:ascii="仿宋_GB2312" w:hAnsi="仿宋_GB2312" w:cs="仿宋_GB2312" w:eastAsia="仿宋_GB2312"/>
                <w:sz w:val="18"/>
              </w:rPr>
              <w:t>二、</w:t>
            </w:r>
            <w:r>
              <w:rPr>
                <w:rFonts w:ascii="仿宋_GB2312" w:hAnsi="仿宋_GB2312" w:cs="仿宋_GB2312" w:eastAsia="仿宋_GB2312"/>
                <w:sz w:val="18"/>
                <w:b/>
              </w:rPr>
              <w:t>项目实施地点：</w:t>
            </w:r>
            <w:r>
              <w:rPr>
                <w:rFonts w:ascii="仿宋_GB2312" w:hAnsi="仿宋_GB2312" w:cs="仿宋_GB2312" w:eastAsia="仿宋_GB2312"/>
                <w:sz w:val="18"/>
              </w:rPr>
              <w:t>西安市</w:t>
            </w:r>
            <w:r>
              <w:rPr>
                <w:rFonts w:ascii="仿宋_GB2312" w:hAnsi="仿宋_GB2312" w:cs="仿宋_GB2312" w:eastAsia="仿宋_GB2312"/>
                <w:sz w:val="18"/>
              </w:rPr>
              <w:t>雁塔</w:t>
            </w:r>
            <w:r>
              <w:rPr>
                <w:rFonts w:ascii="仿宋_GB2312" w:hAnsi="仿宋_GB2312" w:cs="仿宋_GB2312" w:eastAsia="仿宋_GB2312"/>
                <w:sz w:val="18"/>
              </w:rPr>
              <w:t>区</w:t>
            </w:r>
          </w:p>
          <w:p>
            <w:pPr>
              <w:pStyle w:val="null3"/>
              <w:ind w:firstLine="482"/>
              <w:jc w:val="both"/>
            </w:pPr>
            <w:r>
              <w:rPr>
                <w:rFonts w:ascii="仿宋_GB2312" w:hAnsi="仿宋_GB2312" w:cs="仿宋_GB2312" w:eastAsia="仿宋_GB2312"/>
                <w:sz w:val="18"/>
                <w:b/>
              </w:rPr>
              <w:t>三、规范及技术要求：</w:t>
            </w:r>
          </w:p>
          <w:p>
            <w:pPr>
              <w:pStyle w:val="null3"/>
              <w:ind w:firstLine="482"/>
              <w:jc w:val="both"/>
            </w:pPr>
            <w:r>
              <w:rPr>
                <w:rFonts w:ascii="仿宋_GB2312" w:hAnsi="仿宋_GB2312" w:cs="仿宋_GB2312" w:eastAsia="仿宋_GB2312"/>
                <w:sz w:val="18"/>
                <w:b/>
              </w:rPr>
              <w:t>（一）规范</w:t>
            </w:r>
            <w:r>
              <w:rPr>
                <w:rFonts w:ascii="仿宋_GB2312" w:hAnsi="仿宋_GB2312" w:cs="仿宋_GB2312" w:eastAsia="仿宋_GB2312"/>
                <w:sz w:val="18"/>
                <w:b/>
              </w:rPr>
              <w:t>：</w:t>
            </w:r>
          </w:p>
          <w:p>
            <w:pPr>
              <w:pStyle w:val="null3"/>
              <w:ind w:firstLine="480"/>
              <w:jc w:val="both"/>
            </w:pPr>
            <w:r>
              <w:rPr>
                <w:rFonts w:ascii="仿宋_GB2312" w:hAnsi="仿宋_GB2312" w:cs="仿宋_GB2312" w:eastAsia="仿宋_GB2312"/>
                <w:sz w:val="18"/>
              </w:rPr>
              <w:t>《中华人民共和国文物保护法》</w:t>
            </w:r>
          </w:p>
          <w:p>
            <w:pPr>
              <w:pStyle w:val="null3"/>
              <w:ind w:firstLine="480"/>
              <w:jc w:val="both"/>
            </w:pPr>
            <w:r>
              <w:rPr>
                <w:rFonts w:ascii="仿宋_GB2312" w:hAnsi="仿宋_GB2312" w:cs="仿宋_GB2312" w:eastAsia="仿宋_GB2312"/>
                <w:sz w:val="18"/>
              </w:rPr>
              <w:t>《中华人民共和国文物保护法实施条例》</w:t>
            </w:r>
          </w:p>
          <w:p>
            <w:pPr>
              <w:pStyle w:val="null3"/>
              <w:ind w:firstLine="480"/>
              <w:jc w:val="both"/>
            </w:pPr>
            <w:r>
              <w:rPr>
                <w:rFonts w:ascii="仿宋_GB2312" w:hAnsi="仿宋_GB2312" w:cs="仿宋_GB2312" w:eastAsia="仿宋_GB2312"/>
                <w:sz w:val="18"/>
              </w:rPr>
              <w:t>《陕西省文物保护条例》</w:t>
            </w:r>
          </w:p>
          <w:p>
            <w:pPr>
              <w:pStyle w:val="null3"/>
              <w:ind w:firstLine="480"/>
              <w:jc w:val="both"/>
            </w:pPr>
            <w:r>
              <w:rPr>
                <w:rFonts w:ascii="仿宋_GB2312" w:hAnsi="仿宋_GB2312" w:cs="仿宋_GB2312" w:eastAsia="仿宋_GB2312"/>
                <w:sz w:val="18"/>
              </w:rPr>
              <w:t>国家文物局颁布的《田野考古工作规程》</w:t>
            </w:r>
          </w:p>
          <w:p>
            <w:pPr>
              <w:pStyle w:val="null3"/>
              <w:ind w:firstLine="480"/>
              <w:jc w:val="both"/>
            </w:pPr>
            <w:r>
              <w:rPr>
                <w:rFonts w:ascii="仿宋_GB2312" w:hAnsi="仿宋_GB2312" w:cs="仿宋_GB2312" w:eastAsia="仿宋_GB2312"/>
                <w:sz w:val="18"/>
              </w:rPr>
              <w:t>国家文物局</w:t>
            </w:r>
            <w:r>
              <w:rPr>
                <w:rFonts w:ascii="仿宋_GB2312" w:hAnsi="仿宋_GB2312" w:cs="仿宋_GB2312" w:eastAsia="仿宋_GB2312"/>
                <w:sz w:val="18"/>
              </w:rPr>
              <w:t>【</w:t>
            </w:r>
            <w:r>
              <w:rPr>
                <w:rFonts w:ascii="仿宋_GB2312" w:hAnsi="仿宋_GB2312" w:cs="仿宋_GB2312" w:eastAsia="仿宋_GB2312"/>
                <w:sz w:val="18"/>
              </w:rPr>
              <w:t>90</w:t>
            </w:r>
            <w:r>
              <w:rPr>
                <w:rFonts w:ascii="仿宋_GB2312" w:hAnsi="仿宋_GB2312" w:cs="仿宋_GB2312" w:eastAsia="仿宋_GB2312"/>
                <w:sz w:val="18"/>
              </w:rPr>
              <w:t>】</w:t>
            </w:r>
            <w:r>
              <w:rPr>
                <w:rFonts w:ascii="仿宋_GB2312" w:hAnsi="仿宋_GB2312" w:cs="仿宋_GB2312" w:eastAsia="仿宋_GB2312"/>
                <w:sz w:val="18"/>
              </w:rPr>
              <w:t>248</w:t>
            </w:r>
            <w:r>
              <w:rPr>
                <w:rFonts w:ascii="仿宋_GB2312" w:hAnsi="仿宋_GB2312" w:cs="仿宋_GB2312" w:eastAsia="仿宋_GB2312"/>
                <w:sz w:val="18"/>
              </w:rPr>
              <w:t>号文件</w:t>
            </w:r>
          </w:p>
          <w:p>
            <w:pPr>
              <w:pStyle w:val="null3"/>
              <w:ind w:firstLine="480"/>
              <w:jc w:val="both"/>
            </w:pPr>
            <w:r>
              <w:rPr>
                <w:rFonts w:ascii="仿宋_GB2312" w:hAnsi="仿宋_GB2312" w:cs="仿宋_GB2312" w:eastAsia="仿宋_GB2312"/>
                <w:sz w:val="18"/>
              </w:rPr>
              <w:t>陕文物发</w:t>
            </w:r>
            <w:r>
              <w:rPr>
                <w:rFonts w:ascii="仿宋_GB2312" w:hAnsi="仿宋_GB2312" w:cs="仿宋_GB2312" w:eastAsia="仿宋_GB2312"/>
                <w:sz w:val="18"/>
              </w:rPr>
              <w:t>【</w:t>
            </w:r>
            <w:r>
              <w:rPr>
                <w:rFonts w:ascii="仿宋_GB2312" w:hAnsi="仿宋_GB2312" w:cs="仿宋_GB2312" w:eastAsia="仿宋_GB2312"/>
                <w:sz w:val="18"/>
              </w:rPr>
              <w:t>2014</w:t>
            </w:r>
            <w:r>
              <w:rPr>
                <w:rFonts w:ascii="仿宋_GB2312" w:hAnsi="仿宋_GB2312" w:cs="仿宋_GB2312" w:eastAsia="仿宋_GB2312"/>
                <w:sz w:val="18"/>
              </w:rPr>
              <w:t>】</w:t>
            </w:r>
            <w:r>
              <w:rPr>
                <w:rFonts w:ascii="仿宋_GB2312" w:hAnsi="仿宋_GB2312" w:cs="仿宋_GB2312" w:eastAsia="仿宋_GB2312"/>
                <w:sz w:val="18"/>
              </w:rPr>
              <w:t>147</w:t>
            </w:r>
            <w:r>
              <w:rPr>
                <w:rFonts w:ascii="仿宋_GB2312" w:hAnsi="仿宋_GB2312" w:cs="仿宋_GB2312" w:eastAsia="仿宋_GB2312"/>
                <w:sz w:val="18"/>
              </w:rPr>
              <w:t>号文件</w:t>
            </w:r>
          </w:p>
          <w:p>
            <w:pPr>
              <w:pStyle w:val="null3"/>
              <w:ind w:firstLine="482"/>
              <w:jc w:val="both"/>
            </w:pPr>
            <w:r>
              <w:rPr>
                <w:rFonts w:ascii="仿宋_GB2312" w:hAnsi="仿宋_GB2312" w:cs="仿宋_GB2312" w:eastAsia="仿宋_GB2312"/>
                <w:sz w:val="18"/>
                <w:b/>
              </w:rPr>
              <w:t>（二）技术要求：</w:t>
            </w:r>
          </w:p>
          <w:p>
            <w:pPr>
              <w:pStyle w:val="null3"/>
              <w:ind w:firstLine="480"/>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队伍人员要求：</w:t>
            </w:r>
          </w:p>
          <w:p>
            <w:pPr>
              <w:pStyle w:val="null3"/>
              <w:ind w:firstLine="480"/>
              <w:jc w:val="both"/>
            </w:pPr>
            <w:r>
              <w:rPr>
                <w:rFonts w:ascii="仿宋_GB2312" w:hAnsi="仿宋_GB2312" w:cs="仿宋_GB2312" w:eastAsia="仿宋_GB2312"/>
                <w:sz w:val="18"/>
              </w:rPr>
              <w:t>具有考古发掘劳务服务工作经验。</w:t>
            </w:r>
          </w:p>
          <w:p>
            <w:pPr>
              <w:pStyle w:val="null3"/>
              <w:ind w:firstLine="480"/>
              <w:jc w:val="both"/>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具体工作内容：</w:t>
            </w:r>
          </w:p>
          <w:p>
            <w:pPr>
              <w:pStyle w:val="null3"/>
              <w:ind w:firstLine="480"/>
              <w:jc w:val="both"/>
            </w:pPr>
            <w:r>
              <w:rPr>
                <w:rFonts w:ascii="仿宋_GB2312" w:hAnsi="仿宋_GB2312" w:cs="仿宋_GB2312" w:eastAsia="仿宋_GB2312"/>
                <w:sz w:val="18"/>
              </w:rPr>
              <w:t>在文物发掘保护技术单位的指导下，为考古发掘提供文物发掘保护、看护、配合发掘清理中的民工劳务工作。作业过程中必须严格执行《中华人民共和国民法典》、《中华人民共和国文物保护法》以及国家文物局《田野考古工作规程》等有关法规，确保施工过程中古墓葬及地下文物不受破坏。科学发掘，精确记录，确保发掘质量。根据现场考古发掘的需要配备足够的民工、机械及现场管理人员，所有人员必须听从考古发掘现场负责人员的指挥，以满足现场文物发掘所需土方开挖、运输等工作。土方开挖运输后堆放场地需满足甲方要求。</w:t>
            </w:r>
          </w:p>
          <w:p>
            <w:pPr>
              <w:pStyle w:val="null3"/>
              <w:ind w:firstLine="480"/>
              <w:jc w:val="both"/>
            </w:pPr>
            <w:r>
              <w:rPr>
                <w:rFonts w:ascii="仿宋_GB2312" w:hAnsi="仿宋_GB2312" w:cs="仿宋_GB2312" w:eastAsia="仿宋_GB2312"/>
                <w:sz w:val="18"/>
              </w:rPr>
              <w:t>按照国家及行业对文物发掘现场的相关法律法规、行业规定，且在文物挖掘保护技术单位的指导下，承担考古发掘所需的安全保卫工作。在工地现场选取合适位置自行搭建安全保卫值班室，并自行负责现场考古发掘所需的临水、临电设施。在考古发掘区域四周设置围挡形成封闭的工作区域，并在工地四周及出入口设置安全警示标志，安装监控预警等设备。负责安排足够的专职安全保卫人员，昼夜</w:t>
            </w:r>
            <w:r>
              <w:rPr>
                <w:rFonts w:ascii="仿宋_GB2312" w:hAnsi="仿宋_GB2312" w:cs="仿宋_GB2312" w:eastAsia="仿宋_GB2312"/>
                <w:sz w:val="18"/>
              </w:rPr>
              <w:t>24</w:t>
            </w:r>
            <w:r>
              <w:rPr>
                <w:rFonts w:ascii="仿宋_GB2312" w:hAnsi="仿宋_GB2312" w:cs="仿宋_GB2312" w:eastAsia="仿宋_GB2312"/>
                <w:sz w:val="18"/>
              </w:rPr>
              <w:t>小时在工地值班巡逻，根据要求在考古发掘单位上方架设标准数量、规格的摄像监控，做到全程无死角监控发掘过程。并接受考古发掘单位工地负责人及公安科人员的检查督查；负责所有考古工地的安全记录（包括值班记录、人员车辆出入登记、所有录像监控记录数据等），并在工地结束后必须全部提交考古发掘单位公安科存档。</w:t>
            </w:r>
          </w:p>
          <w:p>
            <w:pPr>
              <w:pStyle w:val="null3"/>
              <w:ind w:firstLine="480"/>
              <w:jc w:val="both"/>
            </w:pPr>
            <w:r>
              <w:rPr>
                <w:rFonts w:ascii="仿宋_GB2312" w:hAnsi="仿宋_GB2312" w:cs="仿宋_GB2312" w:eastAsia="仿宋_GB2312"/>
                <w:sz w:val="18"/>
              </w:rPr>
              <w:t>按照国家及行业对文物发掘现场的相关法律法规、行业规定，且在文物挖掘保护技术单位的指导下，承担考古发掘所需的支护加固工作。做好发掘过程中必须的支护加固等工作，对考古发掘单位提出的问题和建议应及时整改到位，确保安全施工。</w:t>
            </w:r>
          </w:p>
          <w:p>
            <w:pPr>
              <w:pStyle w:val="null3"/>
              <w:ind w:firstLine="480"/>
              <w:jc w:val="both"/>
            </w:pPr>
            <w:r>
              <w:rPr>
                <w:rFonts w:ascii="仿宋_GB2312" w:hAnsi="仿宋_GB2312" w:cs="仿宋_GB2312" w:eastAsia="仿宋_GB2312"/>
                <w:sz w:val="18"/>
              </w:rPr>
              <w:t>做好现场文物保护，并全权负责管理好乙方文物挖掘清理保护过程中使用的机械、车辆及其他工器具以及乙方人员，包括施工现场和生活场所等凡是乙方人员活动的地方。规范人员及民工的生活、工作、言行，其人身安全和财务安全等均由乙方负责。配合甲方及考古发掘单位出具考古发掘所需所有资料。</w:t>
            </w:r>
          </w:p>
          <w:p>
            <w:pPr>
              <w:pStyle w:val="null3"/>
              <w:jc w:val="both"/>
            </w:pPr>
            <w:r>
              <w:rPr>
                <w:rFonts w:ascii="仿宋_GB2312" w:hAnsi="仿宋_GB2312" w:cs="仿宋_GB2312" w:eastAsia="仿宋_GB2312"/>
                <w:sz w:val="18"/>
              </w:rPr>
              <w:t xml:space="preserve">        3</w:t>
            </w:r>
            <w:r>
              <w:rPr>
                <w:rFonts w:ascii="仿宋_GB2312" w:hAnsi="仿宋_GB2312" w:cs="仿宋_GB2312" w:eastAsia="仿宋_GB2312"/>
                <w:sz w:val="18"/>
              </w:rPr>
              <w:t>、</w:t>
            </w:r>
            <w:r>
              <w:rPr>
                <w:rFonts w:ascii="仿宋_GB2312" w:hAnsi="仿宋_GB2312" w:cs="仿宋_GB2312" w:eastAsia="仿宋_GB2312"/>
                <w:sz w:val="18"/>
              </w:rPr>
              <w:t>工期：自</w:t>
            </w:r>
            <w:r>
              <w:rPr>
                <w:rFonts w:ascii="仿宋_GB2312" w:hAnsi="仿宋_GB2312" w:cs="仿宋_GB2312" w:eastAsia="仿宋_GB2312"/>
                <w:sz w:val="18"/>
              </w:rPr>
              <w:t>采购人</w:t>
            </w:r>
            <w:r>
              <w:rPr>
                <w:rFonts w:ascii="仿宋_GB2312" w:hAnsi="仿宋_GB2312" w:cs="仿宋_GB2312" w:eastAsia="仿宋_GB2312"/>
                <w:sz w:val="18"/>
              </w:rPr>
              <w:t>通知</w:t>
            </w:r>
            <w:r>
              <w:rPr>
                <w:rFonts w:ascii="仿宋_GB2312" w:hAnsi="仿宋_GB2312" w:cs="仿宋_GB2312" w:eastAsia="仿宋_GB2312"/>
                <w:sz w:val="18"/>
              </w:rPr>
              <w:t>供应商</w:t>
            </w:r>
            <w:r>
              <w:rPr>
                <w:rFonts w:ascii="仿宋_GB2312" w:hAnsi="仿宋_GB2312" w:cs="仿宋_GB2312" w:eastAsia="仿宋_GB2312"/>
                <w:sz w:val="18"/>
              </w:rPr>
              <w:t>进场开展工作之日起，</w:t>
            </w:r>
            <w:r>
              <w:rPr>
                <w:rFonts w:ascii="仿宋_GB2312" w:hAnsi="仿宋_GB2312" w:cs="仿宋_GB2312" w:eastAsia="仿宋_GB2312"/>
                <w:sz w:val="18"/>
              </w:rPr>
              <w:t>供应商</w:t>
            </w:r>
            <w:r>
              <w:rPr>
                <w:rFonts w:ascii="仿宋_GB2312" w:hAnsi="仿宋_GB2312" w:cs="仿宋_GB2312" w:eastAsia="仿宋_GB2312"/>
                <w:sz w:val="18"/>
              </w:rPr>
              <w:t>60</w:t>
            </w:r>
            <w:r>
              <w:rPr>
                <w:rFonts w:ascii="仿宋_GB2312" w:hAnsi="仿宋_GB2312" w:cs="仿宋_GB2312" w:eastAsia="仿宋_GB2312"/>
                <w:sz w:val="18"/>
              </w:rPr>
              <w:t>个工作日内完成考古发掘</w:t>
            </w:r>
            <w:r>
              <w:rPr>
                <w:rFonts w:ascii="仿宋_GB2312" w:hAnsi="仿宋_GB2312" w:cs="仿宋_GB2312" w:eastAsia="仿宋_GB2312"/>
                <w:sz w:val="18"/>
              </w:rPr>
              <w:t>劳务</w:t>
            </w:r>
            <w:r>
              <w:rPr>
                <w:rFonts w:ascii="仿宋_GB2312" w:hAnsi="仿宋_GB2312" w:cs="仿宋_GB2312" w:eastAsia="仿宋_GB2312"/>
                <w:sz w:val="18"/>
              </w:rPr>
              <w:t>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具有考古发掘劳务服务工作经验，供应商须提供针对本项目的详细人员配备情况</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自采购人通知供应商进场开展工作之日起，供应商60个工作日内完成考古发掘劳务工作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合同签订并进场发掘后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发掘工作完成全部工程总量的50%并经甲方书面确认后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待发掘技术单位报请主管部门完成最终验收工作并取得相关文物报告后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（一）甲方违约责任 1、未按协议约定提供有关资料数据和工作条件,导致乙方无法按协议约定完成工作任务，甲方承担逾期责任。 2、按期支付合同费用，以便乙方顺利开展工作。 （二）乙方违约责任 1、如因乙方原因造成逾期未完工，每逾期一日，按合同费用总额的百分之一向甲方支付违约金，同时乙方应继续履行合同义务。逾期超过【10】日的，甲方有权选择解除合同，无论甲方是否选择解除合同，乙方均应向甲方支付合同费用总额的30%作为违约金，违约金不足以弥补甲方损失 的，乙方还应承担赔偿责任。如甲方选择解除合同的，则乙方应当于甲方通知解除合同的当日无条件退出施工现场。 2、乙方在履行合同过程中单方面终止或解除合同，应退还甲方已支付的全部合同费用，并向甲方支付相当于合同费用总额的30%的违约金，违约金不足以弥补甲方损失的，乙方还应承担赔偿责任。 3、本合同自生效之日起至权利义务终止后，双方都应遵循诚实信用原则履行通知、协助、保密等义务。因乙方原因导致文物勘探、挖掘、甲方和技术服务单位秘密等信息泄密，甲方有权终止协议并追究乙方人员法律责任，乙方还应向甲方支付合同费用总额的30%作为违约金，违约金不足以弥补甲方损失的，乙方还应承担赔偿责任。 4、乙方在施工过程中不按规范要求进行，被文物保护单位或监管部门提出通报，甲方有权解除 合同，乙方应向甲方支付合同费用总额的30%作为违约金，违约金不足以弥补甲方损失的，乙方还应承担赔偿责任。 5、乙方的其它违约行为，给甲方造成损失的，应负责赔偿。 6、施工过程中，乙方应配合该项目技术服务单位的发掘工作，若乙方与技术服务单位发生争议，由双方自行协商解决，与甲方无关。若因此影响项目推进，甲方有权追究乙方责任。 7、乙方在施工过程中，要服从市政关于扬尘管理的规定，承担违反相关规定造成的罚款。 8、乙方应积极响应政府要求，及时支付民工工资。如出现严重拖欠民工工资情况，甲方可以直接从乙方工程款中扣除。 （三）争议解决 甲、乙双方应本着积极配合、相互协作、精心组织、保证质量、按期完成的原则开展工作，重大事项双方应共同协商解决。因本协议履行发生争议，双方应协商解决。协商未果，双方有权向通过项目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投标文件，同时，中标供应商领取中标通知书时，应线下提交纸质版投标文件，正本壹份、副本贰套至代理机构。 线上电子投标文件与纸质投标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拟投入本项目的设备仪器表.docx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拟投入本项目的设备仪器表.docx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响应文件封面 响应函 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拟投入本项目的设备仪器表.docx 残疾人福利性单位声明函 标的清单 供应商近三年类似项目业绩证明材料.docx 响应函 商务、服务内容偏离表、技术响应偏差表.docx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供应商针对本项目编制合理的考古发掘施工方案。 方案内容科学合理、针对性强、可行性强、符合实际情况的计12分； 方案内容齐全、有一定针对性、可行性的计8分； 方案内容基本齐全，针对性、可行性一般计4分； 方案内容不齐全，没有可行性计2分。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拟投入本项目的设备仪器表.docx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供应商针对本项目提供安全保卫服务保障措施，包括组织保障、人员保障，以及在工作中突发的紧急安全措施等。 保障措施内容详细完善、规范、明确计12分； 保障措施内容齐全，基本规范、明确计8分； 保障措施基本完善计4分； 保障措施不完善计2分。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拟投入本项目的设备仪器表.docx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技术及环境保护措施</w:t>
            </w:r>
          </w:p>
        </w:tc>
        <w:tc>
          <w:tcPr>
            <w:tcW w:type="dxa" w:w="2492"/>
          </w:tcPr>
          <w:p>
            <w:pPr>
              <w:pStyle w:val="null3"/>
            </w:pPr>
            <w:r>
              <w:rPr>
                <w:rFonts w:ascii="仿宋_GB2312" w:hAnsi="仿宋_GB2312" w:cs="仿宋_GB2312" w:eastAsia="仿宋_GB2312"/>
              </w:rPr>
              <w:t>供应商针对本项目提供的技术组织、环境保护等方面的措施。 措施内容完善、技术组织先进、合理、环境保护措施有针对性的计10分； 技术组织较合理、环境保护措施有一定针对性的计8分； 技术组织一般、环境保护措施一般的计5分； 只提供了技术组织/环境保护措施之一的计2分。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拟投入本项目的设备仪器表.docx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拟投入本项目的工具设备情况</w:t>
            </w:r>
          </w:p>
        </w:tc>
        <w:tc>
          <w:tcPr>
            <w:tcW w:type="dxa" w:w="2492"/>
          </w:tcPr>
          <w:p>
            <w:pPr>
              <w:pStyle w:val="null3"/>
            </w:pPr>
            <w:r>
              <w:rPr>
                <w:rFonts w:ascii="仿宋_GB2312" w:hAnsi="仿宋_GB2312" w:cs="仿宋_GB2312" w:eastAsia="仿宋_GB2312"/>
              </w:rPr>
              <w:t>供应商针对本项目拟投入本项目的工具设备情况，包括设备新旧程度、数量等。 工具配置齐全，数量充足，满足工作需求计10分； 工具配置较齐全，基本满足工作需求计8分； 有一定的工具配置，设备陈旧计5分； 有工具配置，但不能满足项目需求计2分。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拟投入本项目的设备仪器表.docx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供应商根据项目工作特点，提供工作保密措施情况。 保密措施内容详尽合理、严谨性强计10分； 保密措施内容合理、较严谨计8分； 保密措施有一定内容的计5分； 有保密措施但内容欠缺计2分。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拟投入本项目的设备仪器表.docx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供应商根据项目工作特点（包括季节天气防洪防汛等各种突发事件）提供完善的的应急预案措施。 应急预案措施科学合理、全面，实施性强，有针对性计10分； 应急预案措施较科学合理、较全面，有一定实施性计8分； 应急预案措施基本合理、全面，实施性一般计5分； 有应急预案，实施性较差计2分。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拟投入本项目的设备仪器表.docx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工作配合保障措施</w:t>
            </w:r>
          </w:p>
        </w:tc>
        <w:tc>
          <w:tcPr>
            <w:tcW w:type="dxa" w:w="2492"/>
          </w:tcPr>
          <w:p>
            <w:pPr>
              <w:pStyle w:val="null3"/>
            </w:pPr>
            <w:r>
              <w:rPr>
                <w:rFonts w:ascii="仿宋_GB2312" w:hAnsi="仿宋_GB2312" w:cs="仿宋_GB2312" w:eastAsia="仿宋_GB2312"/>
              </w:rPr>
              <w:t>供应商与考古发掘单位工作配合的保障措施。 安排合理，内容详细计10分； 安排较合理，内容较详细计8分； 安排基本合理，内容一般计5分； 安排不合理，内容不足计2分。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拟投入本项目的设备仪器表.docx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供应商针对本项目提供的服务承诺，包括项目质量承诺、项目实施进度承诺、后期服务承诺、人员到位情况承诺等。 内容全面，针对性强、可行性强、符合实际情况的计10分； 内容比较全面，有一定针对性、可行性的计8分； 内容基本齐全，针对性、可行性一般计5分； 内容不齐全，可行性较差计2分。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拟投入本项目的设备仪器表.docx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提供2022年1月1日至今类似考古发掘劳务服务业绩（以加盖供应商公章的合同协议书复印件或扫描件作为评审依据），每提供一个业绩得2分，满分6分。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满足磋商文件要求且最终磋商报价最低的供应商的价格为评标基准价，其价格分为满分。其他供应商的价格分统一按照下列公式计算： 磋商报价得分=（评标基准价/最终磋商报价）×价格权值×100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详见附件：拟投入本项目的设备仪器表.docx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详见附件：供应商近三年类似项目业绩证明材料.docx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