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版本号：SXZY-2025-ZC-113720250807001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雁塔区2024年绿地建设项目（续建）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SXZY-2025-ZC-1137</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雁塔区2024年绿地建设项目（续建）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SXZY-2025-ZC-1137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雁塔区2024年绿地建设项目（续建）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雁塔区2024年绿地建设项目（续建）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采购包1（雁塔区2024年绿地建设项目（续建）一标段）：属于专门面向中小企业采购。</w:t>
      </w:r>
    </w:p>
    <w:p>
      <w:pPr>
        <w:pStyle w:val="null3"/>
      </w:pPr>
      <w:r>
        <w:rPr>
          <w:rFonts w:ascii="仿宋_GB2312" w:hAnsi="仿宋_GB2312" w:cs="仿宋_GB2312" w:eastAsia="仿宋_GB2312"/>
        </w:rPr>
        <w:t>采购包2（雁塔区2024年绿地建设项目（续建）二标段）：属于专门面向中小企业采购。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 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 供应商需在项目电子化交易系统中按要求上传相应证明文件并进行电子签章。</w:t>
      </w:r>
    </w:p>
    <w:p>
      <w:pPr>
        <w:pStyle w:val="null3"/>
      </w:pPr>
      <w:r>
        <w:rPr>
          <w:rFonts w:ascii="仿宋_GB2312" w:hAnsi="仿宋_GB2312" w:cs="仿宋_GB2312" w:eastAsia="仿宋_GB2312"/>
        </w:rPr>
        <w:t>3、非联合体磋商声明：提交非联合体形式参加本项目磋商的声明函。 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市政公用工程施工总承包三级(含)及以上资质及其有效的安全生产许可证；外省进陕企业提供陕西省住房和城乡建设厅官网企业库外省进陕企业信息首页截图。 供应商需在项目电子化交易系统中按要求上传相应证明文件并进行电子签章。</w:t>
      </w:r>
    </w:p>
    <w:p>
      <w:pPr>
        <w:pStyle w:val="null3"/>
      </w:pPr>
      <w:r>
        <w:rPr>
          <w:rFonts w:ascii="仿宋_GB2312" w:hAnsi="仿宋_GB2312" w:cs="仿宋_GB2312" w:eastAsia="仿宋_GB2312"/>
        </w:rPr>
        <w:t>5、拟派项目负责人资质和专业要求：供应商拟派项目负责人需具备园林绿化相关专业中级（含中级）以上职称。具备有效的安全生产考核合格证，且未担任其他在建工程项目的项目经理。 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 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 供应商需在项目电子化交易系统中按要求上传相应证明文件并进行电子签章。</w:t>
      </w:r>
    </w:p>
    <w:p>
      <w:pPr>
        <w:pStyle w:val="null3"/>
      </w:pPr>
      <w:r>
        <w:rPr>
          <w:rFonts w:ascii="仿宋_GB2312" w:hAnsi="仿宋_GB2312" w:cs="仿宋_GB2312" w:eastAsia="仿宋_GB2312"/>
        </w:rPr>
        <w:t>3、非联合体磋商声明：提交非联合体形式参加本项目磋商的声明函。 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市政公用工程施工总承包三级(含)及以上资质及其有效的安全生产许可证；外省进陕企业提供陕西省住房和城乡建设厅官网企业库外省进陕企业信息首页截图。 供应商需在项目电子化交易系统中按要求上传相应证明文件并进行电子签章。</w:t>
      </w:r>
    </w:p>
    <w:p>
      <w:pPr>
        <w:pStyle w:val="null3"/>
      </w:pPr>
      <w:r>
        <w:rPr>
          <w:rFonts w:ascii="仿宋_GB2312" w:hAnsi="仿宋_GB2312" w:cs="仿宋_GB2312" w:eastAsia="仿宋_GB2312"/>
        </w:rPr>
        <w:t>5、拟派项目负责人资质和专业要求：供应商拟派项目负责人需具备园林绿化相关专业中级（含中级）以上职称。具备有效的安全生产考核合格证，且未担任其他在建工程项目的项目经理。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02989313912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采购包1：1,733,524.07元</w:t>
            </w:r>
          </w:p>
          <w:p>
            <w:pPr>
              <w:pStyle w:val="null3"/>
            </w:pPr>
            <w:r>
              <w:rPr>
                <w:rFonts w:ascii="仿宋_GB2312" w:hAnsi="仿宋_GB2312" w:cs="仿宋_GB2312" w:eastAsia="仿宋_GB2312"/>
              </w:rPr>
              <w:t>采购包2：1,414,757.81元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1,733,524.07</w:t>
      </w:r>
    </w:p>
    <w:p>
      <w:pPr>
        <w:pStyle w:val="null3"/>
      </w:pPr>
      <w:r>
        <w:rPr>
          <w:rFonts w:ascii="仿宋_GB2312" w:hAnsi="仿宋_GB2312" w:cs="仿宋_GB2312" w:eastAsia="仿宋_GB2312"/>
        </w:rPr>
        <w:t>采购包最高限价（元）: 1,733,524.07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雁塔区2024年绿地建设项目（续建）一标段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1,733,524.07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1,414,757.81</w:t>
      </w:r>
    </w:p>
    <w:p>
      <w:pPr>
        <w:pStyle w:val="null3"/>
      </w:pPr>
      <w:r>
        <w:rPr>
          <w:rFonts w:ascii="仿宋_GB2312" w:hAnsi="仿宋_GB2312" w:cs="仿宋_GB2312" w:eastAsia="仿宋_GB2312"/>
        </w:rPr>
        <w:t>采购包最高限价（元）: 1,414,757.81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雁塔区2024年绿地建设项目（续建）二标段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1,414,757.81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标的名称：雁塔区2024年绿地建设项目（续建）一标段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（一）、编制范围</w:t>
            </w:r>
          </w:p>
          <w:p>
            <w:pPr>
              <w:pStyle w:val="null3"/>
              <w:jc w:val="both"/>
            </w:pPr>
            <w:r>
              <w:rPr>
                <w:rFonts w:ascii="仿宋_GB2312" w:hAnsi="仿宋_GB2312" w:cs="仿宋_GB2312" w:eastAsia="仿宋_GB2312"/>
              </w:rPr>
              <w:t>东仪路（丈八东路-南三环）、丈八东路（长安南路-太白南路）、清凉寺路路侧绿地、山门口地铁站东侧、丈八东路路侧绿地道路延伸项目工程量清单范围内所有内容。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（二）、计价依据</w:t>
            </w:r>
          </w:p>
          <w:p>
            <w:pPr>
              <w:pStyle w:val="null3"/>
              <w:jc w:val="both"/>
            </w:pPr>
            <w:r>
              <w:rPr>
                <w:rFonts w:ascii="仿宋_GB2312" w:hAnsi="仿宋_GB2312" w:cs="仿宋_GB2312" w:eastAsia="仿宋_GB2312"/>
              </w:rPr>
              <w:t>1、东仪路（丈八东路-南三环）、丈八东路（长安南路-太白南路）、清凉寺路路侧绿地、山门口地铁站东侧、丈八东路路侧绿地道路延伸项目相关图纸；</w:t>
            </w:r>
          </w:p>
          <w:p>
            <w:pPr>
              <w:pStyle w:val="null3"/>
              <w:jc w:val="both"/>
            </w:pPr>
            <w:r>
              <w:rPr>
                <w:rFonts w:ascii="仿宋_GB2312" w:hAnsi="仿宋_GB2312" w:cs="仿宋_GB2312" w:eastAsia="仿宋_GB2312"/>
              </w:rPr>
              <w:t>2、《陕西省建设工程工程量清单计价规则》（2009）、《陕西省建筑装饰、市政园林绿化、安装工程消耗量定额》（2004）及其配套使用的2009价目表、《陕西省建设工程消耗量定额勘误及补充定额》、《陕西省建设工程工程量清单计价费率》（2009）、《陕西省建设工程施工机械台班价目表》（2009）、《陕西省建设工程工程量清单计价费率》（2009）及其他相关文件；</w:t>
            </w:r>
          </w:p>
          <w:p>
            <w:pPr>
              <w:pStyle w:val="null3"/>
              <w:jc w:val="both"/>
            </w:pPr>
            <w:r>
              <w:rPr>
                <w:rFonts w:ascii="仿宋_GB2312" w:hAnsi="仿宋_GB2312" w:cs="仿宋_GB2312" w:eastAsia="仿宋_GB2312"/>
              </w:rPr>
              <w:t>3、陕建发[2019]45号《关于调整陕西省建设工程计价依据的通知》；安全文明施工措施项目费执行陕建发〔2019〕1246号《关于发布我省落实建筑工人实名制管理计价依据的通知》；</w:t>
            </w:r>
          </w:p>
          <w:p>
            <w:pPr>
              <w:pStyle w:val="null3"/>
              <w:jc w:val="both"/>
            </w:pPr>
            <w:r>
              <w:rPr>
                <w:rFonts w:ascii="仿宋_GB2312" w:hAnsi="仿宋_GB2312" w:cs="仿宋_GB2312" w:eastAsia="仿宋_GB2312"/>
              </w:rPr>
              <w:t>4、陕建发〔2021〕1097号《关于调整房屋建筑和市政基础设施工程工程量清单计价综合人工单价的通知》；</w:t>
            </w:r>
          </w:p>
          <w:p>
            <w:pPr>
              <w:pStyle w:val="null3"/>
              <w:jc w:val="both"/>
            </w:pPr>
            <w:r>
              <w:rPr>
                <w:rFonts w:ascii="仿宋_GB2312" w:hAnsi="仿宋_GB2312" w:cs="仿宋_GB2312" w:eastAsia="仿宋_GB2312"/>
              </w:rPr>
              <w:t>5、陕建发[2017]270号文《关于增加建设工程扬尘治理专项措施费及综合人工单价调整的通知》；</w:t>
            </w:r>
          </w:p>
          <w:p>
            <w:pPr>
              <w:pStyle w:val="null3"/>
              <w:jc w:val="both"/>
            </w:pPr>
            <w:r>
              <w:rPr>
                <w:rFonts w:ascii="仿宋_GB2312" w:hAnsi="仿宋_GB2312" w:cs="仿宋_GB2312" w:eastAsia="仿宋_GB2312"/>
              </w:rPr>
              <w:t>6、陕建发[2020]1097号文《关于建筑施工安全生产责任保险费用计价的通知》；</w:t>
            </w:r>
          </w:p>
          <w:p>
            <w:pPr>
              <w:pStyle w:val="null3"/>
              <w:jc w:val="both"/>
            </w:pPr>
            <w:r>
              <w:rPr>
                <w:rFonts w:ascii="仿宋_GB2312" w:hAnsi="仿宋_GB2312" w:cs="仿宋_GB2312" w:eastAsia="仿宋_GB2312"/>
              </w:rPr>
              <w:t>7、陕建发[2021]1021号文《关于全省统一停止收缴建筑业劳保费用的通知》；</w:t>
            </w:r>
          </w:p>
          <w:p>
            <w:pPr>
              <w:pStyle w:val="null3"/>
              <w:jc w:val="both"/>
            </w:pPr>
            <w:r>
              <w:rPr>
                <w:rFonts w:ascii="仿宋_GB2312" w:hAnsi="仿宋_GB2312" w:cs="仿宋_GB2312" w:eastAsia="仿宋_GB2312"/>
              </w:rPr>
              <w:t>8、常规的施工工艺和施工方法、相关验收规范及标准；</w:t>
            </w:r>
          </w:p>
          <w:p>
            <w:pPr>
              <w:pStyle w:val="null3"/>
              <w:jc w:val="both"/>
            </w:pPr>
            <w:r>
              <w:rPr>
                <w:rFonts w:ascii="仿宋_GB2312" w:hAnsi="仿宋_GB2312" w:cs="仿宋_GB2312" w:eastAsia="仿宋_GB2312"/>
              </w:rPr>
              <w:t>9、陕西省造价管理信息（材料信息价）2025年第3期信息价，绿化苗木等其他信息价没有的价格遵循市场价询价原则；</w:t>
            </w:r>
          </w:p>
          <w:p>
            <w:pPr>
              <w:pStyle w:val="null3"/>
              <w:jc w:val="both"/>
            </w:pPr>
            <w:r>
              <w:rPr>
                <w:rFonts w:ascii="仿宋_GB2312" w:hAnsi="仿宋_GB2312" w:cs="仿宋_GB2312" w:eastAsia="仿宋_GB2312"/>
              </w:rPr>
              <w:t>10、预留金按11万考虑，计入市政土建项目其它项目暂列金额</w:t>
            </w:r>
          </w:p>
          <w:p>
            <w:pPr>
              <w:pStyle w:val="null3"/>
              <w:jc w:val="both"/>
            </w:pPr>
            <w:r>
              <w:rPr>
                <w:rFonts w:ascii="仿宋_GB2312" w:hAnsi="仿宋_GB2312" w:cs="仿宋_GB2312" w:eastAsia="仿宋_GB2312"/>
              </w:rPr>
              <w:t>11、本清单采用广联达云计价平台GCCP6.0（6.4100.23.122）。</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（三）、施工地点、工期、缺陷责任期、质量保修范围、质量保修期、质量标准。</w:t>
            </w:r>
          </w:p>
          <w:p>
            <w:pPr>
              <w:pStyle w:val="null3"/>
              <w:jc w:val="both"/>
            </w:pPr>
            <w:r>
              <w:rPr>
                <w:rFonts w:ascii="仿宋_GB2312" w:hAnsi="仿宋_GB2312" w:cs="仿宋_GB2312" w:eastAsia="仿宋_GB2312"/>
              </w:rPr>
              <w:t>1.施工地点：采购人指定地点</w:t>
            </w:r>
          </w:p>
          <w:p>
            <w:pPr>
              <w:pStyle w:val="null3"/>
              <w:jc w:val="both"/>
            </w:pPr>
            <w:r>
              <w:rPr>
                <w:rFonts w:ascii="仿宋_GB2312" w:hAnsi="仿宋_GB2312" w:cs="仿宋_GB2312" w:eastAsia="仿宋_GB2312"/>
              </w:rPr>
              <w:t>2.工期：90日历日</w:t>
            </w:r>
          </w:p>
          <w:p>
            <w:pPr>
              <w:pStyle w:val="null3"/>
              <w:jc w:val="both"/>
            </w:pPr>
            <w:r>
              <w:rPr>
                <w:rFonts w:ascii="仿宋_GB2312" w:hAnsi="仿宋_GB2312" w:cs="仿宋_GB2312" w:eastAsia="仿宋_GB2312"/>
              </w:rPr>
              <w:t>3.责任缺陷期：2年</w:t>
            </w:r>
          </w:p>
          <w:p>
            <w:pPr>
              <w:pStyle w:val="null3"/>
              <w:jc w:val="both"/>
            </w:pPr>
            <w:r>
              <w:rPr>
                <w:rFonts w:ascii="仿宋_GB2312" w:hAnsi="仿宋_GB2312" w:cs="仿宋_GB2312" w:eastAsia="仿宋_GB2312"/>
              </w:rPr>
              <w:t>4.质量保修范围：本项目全部内容</w:t>
            </w:r>
          </w:p>
          <w:p>
            <w:pPr>
              <w:pStyle w:val="null3"/>
              <w:jc w:val="both"/>
            </w:pPr>
            <w:r>
              <w:rPr>
                <w:rFonts w:ascii="仿宋_GB2312" w:hAnsi="仿宋_GB2312" w:cs="仿宋_GB2312" w:eastAsia="仿宋_GB2312"/>
              </w:rPr>
              <w:t>5.质量保修期：2年</w:t>
            </w:r>
          </w:p>
          <w:p>
            <w:pPr>
              <w:pStyle w:val="null3"/>
              <w:jc w:val="both"/>
            </w:pPr>
            <w:r>
              <w:rPr>
                <w:rFonts w:ascii="仿宋_GB2312" w:hAnsi="仿宋_GB2312" w:cs="仿宋_GB2312" w:eastAsia="仿宋_GB2312"/>
              </w:rPr>
              <w:t>6.质量标准：符合现行国家有关工程施工验收规范和标准的要求“合格”标准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标的名称：雁塔区2024年绿地建设项目（续建）二标段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（一）、编制范围</w:t>
            </w:r>
          </w:p>
          <w:p>
            <w:pPr>
              <w:pStyle w:val="null3"/>
              <w:jc w:val="both"/>
            </w:pPr>
            <w:r>
              <w:rPr>
                <w:rFonts w:ascii="仿宋_GB2312" w:hAnsi="仿宋_GB2312" w:cs="仿宋_GB2312" w:eastAsia="仿宋_GB2312"/>
              </w:rPr>
              <w:t>高新六路绿化提升项目、雁塔西路绿化提升项目、朱雀大街绿化提升项目工程量清单范围内所有内容。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（二）、计价依据</w:t>
            </w:r>
          </w:p>
          <w:p>
            <w:pPr>
              <w:pStyle w:val="null3"/>
              <w:jc w:val="both"/>
            </w:pPr>
            <w:r>
              <w:rPr>
                <w:rFonts w:ascii="仿宋_GB2312" w:hAnsi="仿宋_GB2312" w:cs="仿宋_GB2312" w:eastAsia="仿宋_GB2312"/>
              </w:rPr>
              <w:t>1、高新六路绿化提升项目、雁塔西路绿化提升项目、朱雀大街绿化提升项目相关图纸；</w:t>
            </w:r>
          </w:p>
          <w:p>
            <w:pPr>
              <w:pStyle w:val="null3"/>
              <w:jc w:val="both"/>
            </w:pPr>
            <w:r>
              <w:rPr>
                <w:rFonts w:ascii="仿宋_GB2312" w:hAnsi="仿宋_GB2312" w:cs="仿宋_GB2312" w:eastAsia="仿宋_GB2312"/>
              </w:rPr>
              <w:t>2、《陕西省建设工程工程量清单计价规则》（2009）、《陕西省建筑装饰、市政园林绿化、安装工程消耗量定额》（2004）及其配套使用的2009价目表、《陕西省建设工程消耗量定额勘误及补充定额》、《陕西省建设工程工程量清单计价费率》（2009）、《陕西省建设工程施工机械台班价目表》（2009）、《陕西省建设工程工程量清单计价费率》（2009）及其他相关文件；</w:t>
            </w:r>
          </w:p>
          <w:p>
            <w:pPr>
              <w:pStyle w:val="null3"/>
              <w:jc w:val="both"/>
            </w:pPr>
            <w:r>
              <w:rPr>
                <w:rFonts w:ascii="仿宋_GB2312" w:hAnsi="仿宋_GB2312" w:cs="仿宋_GB2312" w:eastAsia="仿宋_GB2312"/>
              </w:rPr>
              <w:t>3、陕建发[2019]45号《关于调整陕西省建设工程计价依据的通知》；安全文明施工措施项目费执行陕建发〔2019〕1246号《关于发布我省落实建筑工人实名制管理计价依据的通知》；</w:t>
            </w:r>
          </w:p>
          <w:p>
            <w:pPr>
              <w:pStyle w:val="null3"/>
              <w:jc w:val="both"/>
            </w:pPr>
            <w:r>
              <w:rPr>
                <w:rFonts w:ascii="仿宋_GB2312" w:hAnsi="仿宋_GB2312" w:cs="仿宋_GB2312" w:eastAsia="仿宋_GB2312"/>
              </w:rPr>
              <w:t>4、陕建发〔2021〕1097号《关于调整房屋建筑和市政基础设施工程工程量清单计价综合人工单价的通知》；</w:t>
            </w:r>
          </w:p>
          <w:p>
            <w:pPr>
              <w:pStyle w:val="null3"/>
              <w:jc w:val="both"/>
            </w:pPr>
            <w:r>
              <w:rPr>
                <w:rFonts w:ascii="仿宋_GB2312" w:hAnsi="仿宋_GB2312" w:cs="仿宋_GB2312" w:eastAsia="仿宋_GB2312"/>
              </w:rPr>
              <w:t>5、陕建发[2017]270号文《关于增加建设工程扬尘治理专项措施费及综合人工单价调整的通知》；</w:t>
            </w:r>
          </w:p>
          <w:p>
            <w:pPr>
              <w:pStyle w:val="null3"/>
              <w:jc w:val="both"/>
            </w:pPr>
            <w:r>
              <w:rPr>
                <w:rFonts w:ascii="仿宋_GB2312" w:hAnsi="仿宋_GB2312" w:cs="仿宋_GB2312" w:eastAsia="仿宋_GB2312"/>
              </w:rPr>
              <w:t>6、陕建发[2020]1097号文《关于建筑施工安全生产责任保险费用计价的通知》；</w:t>
            </w:r>
          </w:p>
          <w:p>
            <w:pPr>
              <w:pStyle w:val="null3"/>
              <w:jc w:val="both"/>
            </w:pPr>
            <w:r>
              <w:rPr>
                <w:rFonts w:ascii="仿宋_GB2312" w:hAnsi="仿宋_GB2312" w:cs="仿宋_GB2312" w:eastAsia="仿宋_GB2312"/>
              </w:rPr>
              <w:t>7、陕建发[2021]1021号文《关于全省统一停止收缴建筑业劳保费用的通知》；</w:t>
            </w:r>
          </w:p>
          <w:p>
            <w:pPr>
              <w:pStyle w:val="null3"/>
              <w:jc w:val="both"/>
            </w:pPr>
            <w:r>
              <w:rPr>
                <w:rFonts w:ascii="仿宋_GB2312" w:hAnsi="仿宋_GB2312" w:cs="仿宋_GB2312" w:eastAsia="仿宋_GB2312"/>
              </w:rPr>
              <w:t>8、常规的施工工艺和施工方法、相关验收规范及标准；</w:t>
            </w:r>
          </w:p>
          <w:p>
            <w:pPr>
              <w:pStyle w:val="null3"/>
              <w:jc w:val="both"/>
            </w:pPr>
            <w:r>
              <w:rPr>
                <w:rFonts w:ascii="仿宋_GB2312" w:hAnsi="仿宋_GB2312" w:cs="仿宋_GB2312" w:eastAsia="仿宋_GB2312"/>
              </w:rPr>
              <w:t>9、陕西省造价管理信息（材料信息价）2025年第3期信息价，绿化苗木等其他信息价没有的价格遵循市场价询价原则；</w:t>
            </w:r>
          </w:p>
          <w:p>
            <w:pPr>
              <w:pStyle w:val="null3"/>
              <w:jc w:val="both"/>
            </w:pPr>
            <w:r>
              <w:rPr>
                <w:rFonts w:ascii="仿宋_GB2312" w:hAnsi="仿宋_GB2312" w:cs="仿宋_GB2312" w:eastAsia="仿宋_GB2312"/>
              </w:rPr>
              <w:t>10、预留金按9万考虑，计入市政土建项目其它项目暂列金额</w:t>
            </w:r>
          </w:p>
          <w:p>
            <w:pPr>
              <w:pStyle w:val="null3"/>
              <w:jc w:val="both"/>
            </w:pPr>
            <w:r>
              <w:rPr>
                <w:rFonts w:ascii="仿宋_GB2312" w:hAnsi="仿宋_GB2312" w:cs="仿宋_GB2312" w:eastAsia="仿宋_GB2312"/>
              </w:rPr>
              <w:t>11、本清单采用广联达云计价平台GCCP6.0（6.4100.23.122）。</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（三）、施工地点、工期、缺陷责任期、质量保修范围、质量保修期、质量标准。</w:t>
            </w:r>
          </w:p>
          <w:p>
            <w:pPr>
              <w:pStyle w:val="null3"/>
              <w:jc w:val="both"/>
            </w:pPr>
            <w:r>
              <w:rPr>
                <w:rFonts w:ascii="仿宋_GB2312" w:hAnsi="仿宋_GB2312" w:cs="仿宋_GB2312" w:eastAsia="仿宋_GB2312"/>
              </w:rPr>
              <w:t>1.施工地点：采购人指定地点</w:t>
            </w:r>
          </w:p>
          <w:p>
            <w:pPr>
              <w:pStyle w:val="null3"/>
              <w:jc w:val="both"/>
            </w:pPr>
            <w:r>
              <w:rPr>
                <w:rFonts w:ascii="仿宋_GB2312" w:hAnsi="仿宋_GB2312" w:cs="仿宋_GB2312" w:eastAsia="仿宋_GB2312"/>
              </w:rPr>
              <w:t>2.工期：90日历日</w:t>
            </w:r>
          </w:p>
          <w:p>
            <w:pPr>
              <w:pStyle w:val="null3"/>
              <w:jc w:val="both"/>
            </w:pPr>
            <w:r>
              <w:rPr>
                <w:rFonts w:ascii="仿宋_GB2312" w:hAnsi="仿宋_GB2312" w:cs="仿宋_GB2312" w:eastAsia="仿宋_GB2312"/>
              </w:rPr>
              <w:t>3.责任缺陷期：2年</w:t>
            </w:r>
          </w:p>
          <w:p>
            <w:pPr>
              <w:pStyle w:val="null3"/>
              <w:jc w:val="both"/>
            </w:pPr>
            <w:r>
              <w:rPr>
                <w:rFonts w:ascii="仿宋_GB2312" w:hAnsi="仿宋_GB2312" w:cs="仿宋_GB2312" w:eastAsia="仿宋_GB2312"/>
              </w:rPr>
              <w:t>4.质量保修范围：本项目全部内容</w:t>
            </w:r>
          </w:p>
          <w:p>
            <w:pPr>
              <w:pStyle w:val="null3"/>
              <w:jc w:val="both"/>
            </w:pPr>
            <w:r>
              <w:rPr>
                <w:rFonts w:ascii="仿宋_GB2312" w:hAnsi="仿宋_GB2312" w:cs="仿宋_GB2312" w:eastAsia="仿宋_GB2312"/>
              </w:rPr>
              <w:t>5.质量保修期：2年</w:t>
            </w:r>
          </w:p>
          <w:p>
            <w:pPr>
              <w:pStyle w:val="null3"/>
              <w:jc w:val="both"/>
            </w:pPr>
            <w:r>
              <w:rPr>
                <w:rFonts w:ascii="仿宋_GB2312" w:hAnsi="仿宋_GB2312" w:cs="仿宋_GB2312" w:eastAsia="仿宋_GB2312"/>
              </w:rPr>
              <w:t>6.质量标准：符合现行国家有关工程施工验收规范和标准的要求“合格”标准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支付方式1、付款条件说明：待工程初步验收合格，承包人均需提交付款申请书和等额合格发票，并经发包人和监理单位审核，达到付款条件10日内，支付合同总金额的20.00%；2、付款条件说明：竣工初验后在养护期内，承包人均需提交付款申请书和等额合格发票，并经发包人和监理单位审核，根据财政拨付情况，达到付款条件10日内，支付合同总金额的30.00%；3、付款条件说明：竣工后承包人向发包人提交本项目完整的工程资料和竣工结算资料进行结算审核，审核完成后，承包人均需提交付款申请书和等额合格发票，并经发包人和监理单位审核，达到付款条件10日内，支付合同总金额的30.00%。4、付款条件说明：养护期结束后，承包人向发包人申请移交场地和最终验收。承包人均需提交付款申请书和等额合格发票，并经发包人和监理单位审核，依据财政资金拨付情况，达到付款条件10日内，支付合同总金额的20.00%。 （二）供应商所报价格应考虑到可能发生的所有与完成本项目有关的一切费用。磋商报价是供应商为完成本次磋商所要求的货物、服务及工程且验收合格的所有费用，包括但不限于投标人完成本项目所需的人工费、买样费、设备费、管理费、验收费、利润和税金等所产生的全部费用。任何有选择的报价将不予接受，按无效磋商处理。 （三）本项目所属行业为：建筑业。根据《工业和信息化部、国家统计局、国家发展和改革委员会、财政部关于印发中小企业划型标准规定的通知》《工信部联企业(2011)300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四）、本项目共分为两个合同包，采取按包号顺序定标兼投不兼中原则，按照合同包包号顺序确定成交候选人(合同包1的第一成交候选人，不作为其余合同包的成交候选人推荐,以此类推)，同一家供应商不可同时成交多个合同包。 （五）、成交供应商在领取成交通知书前，需向采购代理机构提交加盖公章的纸质版响应文件三套，成交供应商应保持响应文件纸质版内容与系统上传内容完全一致，否则将承担一切法律责任。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②可提供截至响应文件提交截止日一年内银行出具的资信证明（附基本存款账户信息）； 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②可提供截至响应文件提交截止日一年内银行出具的资信证明（附基本存款账户信息）； 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供应商须具备国家建设行政主管部门颁发的市政公用工程施工总承包三级(含)及以上资质及其有效的安全生产许可证；外省进陕企业提供陕西省住房和城乡建设厅官网企业库外省进陕企业信息首页截图。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供应商拟派项目负责人需具备园林绿化相关专业中级（含中级）以上职称。具备有效的安全生产考核合格证，且未担任其他在建工程项目的项目经理。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供应商须具备国家建设行政主管部门颁发的市政公用工程施工总承包三级(含)及以上资质及其有效的安全生产许可证；外省进陕企业提供陕西省住房和城乡建设厅官网企业库外省进陕企业信息首页截图。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供应商拟派项目负责人需具备园林绿化相关专业中级（含中级）以上职称。具备有效的安全生产考核合格证，且未担任其他在建工程项目的项目经理。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供应商需在项目电子化交易系统中按要求填写《报价函》、《标的清单》、《响应函附录》并进行电子签章。</w:t>
            </w:r>
          </w:p>
        </w:tc>
        <w:tc>
          <w:tcPr>
            <w:tcW w:type="dxa" w:w="1661"/>
          </w:tcPr>
          <w:p>
            <w:pPr>
              <w:pStyle w:val="null3"/>
            </w:pPr>
            <w:r>
              <w:rPr>
                <w:rFonts w:ascii="仿宋_GB2312" w:hAnsi="仿宋_GB2312" w:cs="仿宋_GB2312" w:eastAsia="仿宋_GB2312"/>
              </w:rPr>
              <w:t>响应函附录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供应商需在项目电子化交易系统中按要求填写《报价函》、《响应函附录》并进行电子签章。</w:t>
            </w:r>
          </w:p>
        </w:tc>
        <w:tc>
          <w:tcPr>
            <w:tcW w:type="dxa" w:w="1661"/>
          </w:tcPr>
          <w:p>
            <w:pPr>
              <w:pStyle w:val="null3"/>
            </w:pPr>
            <w:r>
              <w:rPr>
                <w:rFonts w:ascii="仿宋_GB2312" w:hAnsi="仿宋_GB2312" w:cs="仿宋_GB2312" w:eastAsia="仿宋_GB2312"/>
              </w:rPr>
              <w:t>响应函附录 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已标价工程量清单 响应函附录 中小企业声明函 资格证明材料 技术方案 合同条款响应偏离表 响应文件封面 其他资料 残疾人福利性单位声明函 报价函 标的清单 供应商承诺书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供应商需在项目电子化交易系统中按要求填写《报价函》、《标的清单》、《响应函附录》并进行电子签章。</w:t>
            </w:r>
          </w:p>
        </w:tc>
        <w:tc>
          <w:tcPr>
            <w:tcW w:type="dxa" w:w="1661"/>
          </w:tcPr>
          <w:p>
            <w:pPr>
              <w:pStyle w:val="null3"/>
            </w:pPr>
            <w:r>
              <w:rPr>
                <w:rFonts w:ascii="仿宋_GB2312" w:hAnsi="仿宋_GB2312" w:cs="仿宋_GB2312" w:eastAsia="仿宋_GB2312"/>
              </w:rPr>
              <w:t>响应函附录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供应商需在项目电子化交易系统中按要求填写《报价函》、《响应函附录》并进行电子签章。</w:t>
            </w:r>
          </w:p>
        </w:tc>
        <w:tc>
          <w:tcPr>
            <w:tcW w:type="dxa" w:w="1661"/>
          </w:tcPr>
          <w:p>
            <w:pPr>
              <w:pStyle w:val="null3"/>
            </w:pPr>
            <w:r>
              <w:rPr>
                <w:rFonts w:ascii="仿宋_GB2312" w:hAnsi="仿宋_GB2312" w:cs="仿宋_GB2312" w:eastAsia="仿宋_GB2312"/>
              </w:rPr>
              <w:t>响应函附录 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已标价工程量清单 响应函附录 中小企业声明函 资格证明材料 技术方案 合同条款响应偏离表 响应文件封面 其他资料 残疾人福利性单位声明函 报价函 标的清单 供应商承诺书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团队人员数量充足、配备合理、职责明确，完全满足项目需求，得6分； 团队人员数量较为充足、配备较为合理、职责较为明确，满足项目需求，得4分； 团队人员数量较少、配备合理性较差、职责基本明确，基本满足项目需求，得2分；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服务承诺明确、合理且详细，具有高标准，有针对性和可操作性，得5分； 服务承诺明确、合理但不够详细，具有针对性但可行性一般，得3分；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供应商2022年1月至今同类施工项目业绩；每提供1份计2.5分，最高得5分。 业绩证明（以合同或中标/成交通知书签订日期为准）。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 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团队人员数量充足、配备合理、职责明确，完全满足项目需求，得6分； 团队人员数量较为充足、配备较为合理、职责较为明确，满足项目需求，得4分； 团队人员数量较少、配备合理性较差、职责基本明确，基本满足项目需求，得2分；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1、完整性：方案须全面，对评审内容中的各项要求有详细描述； 2、可实施性：切合本项目实际情况，实施步骤清晰、合理； 3、针对性：方案能够紧扣项目实际情况，内容科学合理。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服务承诺明确、合理且详细，具有高标准，有针对性和可操作性，得5分； 服务承诺明确、合理但不够详细，具有针对性但可行性一般，得3分；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供应商2022年1月至今同类施工项目业绩；每提供1份计2.5分，最高得5分。 业绩证明（以合同或中标/成交通知书签订日期为准）。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 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详见附件：响应函附录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详见附件：响应函附录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