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版本号：SXZY-2025-ZC-113320250807001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等驾坡中队办公环境改造提升项目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SXZY-2025-ZC-1133</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等驾坡中队办公环境改造提升项目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SXZY-2025-ZC-1133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等驾坡中队办公环境改造提升项目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对办公用房进行简单隔断、组装线路以及上下水改造，以满足基本办公功能分区及设施使用需求。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采购包1（等驾坡中队办公环境改造提升项目）：属于专门面向中小企业采购。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3、非联合体磋商声明：提交非联合体形式参加本项目磋商的声明函。供应商需在项目电子化交易系统中按要求上传相应证明文件并进行电子签章。</w:t>
      </w:r>
    </w:p>
    <w:p>
      <w:pPr>
        <w:pStyle w:val="null3"/>
      </w:pPr>
      <w:r>
        <w:rPr>
          <w:rFonts w:ascii="仿宋_GB2312" w:hAnsi="仿宋_GB2312" w:cs="仿宋_GB2312" w:eastAsia="仿宋_GB2312"/>
        </w:rPr>
        <w:t>4、资质要求：供应商须具备国家建设行政主管部门颁发的建筑装修装饰工程专业承包二级（含）以上资质，并具有有效的安全生产许可证；外省进陕企业提供陕西省住房和城乡建设厅官网企业库外省进陕企业信息首页截图。供应商需在项目电子化交易系统中按要求上传相应证明文件并进行电子签章。</w:t>
      </w:r>
    </w:p>
    <w:p>
      <w:pPr>
        <w:pStyle w:val="null3"/>
      </w:pPr>
      <w:r>
        <w:rPr>
          <w:rFonts w:ascii="仿宋_GB2312" w:hAnsi="仿宋_GB2312" w:cs="仿宋_GB2312" w:eastAsia="仿宋_GB2312"/>
        </w:rPr>
        <w:t>5、拟派项目负责人资质和专业要求：供应商拟派项目负责人需具备建筑工程专业二级（含）以上注册建造师证书。具备有效的安全生产考核合格证，在本单位注册，且未担任其他在建工程项目的项目经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西安市雁塔区东仪路176号东仪厂院内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02985257181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符合现行国家有关工程施工验收规范和标准的要求“合格”标准。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336,000.00</w:t>
      </w:r>
    </w:p>
    <w:p>
      <w:pPr>
        <w:pStyle w:val="null3"/>
      </w:pPr>
      <w:r>
        <w:rPr>
          <w:rFonts w:ascii="仿宋_GB2312" w:hAnsi="仿宋_GB2312" w:cs="仿宋_GB2312" w:eastAsia="仿宋_GB2312"/>
        </w:rPr>
        <w:t>采购包最高限价（元）: 335,254.54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等驾坡中队办公环境改造提升项目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标的名称：等驾坡中队办公环境改造提升项目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（一）、计价依据</w:t>
            </w:r>
          </w:p>
          <w:p>
            <w:pPr>
              <w:pStyle w:val="null3"/>
              <w:jc w:val="both"/>
            </w:pPr>
            <w:r>
              <w:rPr>
                <w:rFonts w:ascii="仿宋_GB2312" w:hAnsi="仿宋_GB2312" w:cs="仿宋_GB2312" w:eastAsia="仿宋_GB2312"/>
              </w:rPr>
              <w:t>1、中国建设工程造价管理协会标准建设工程招标控制价编审规程；</w:t>
            </w:r>
          </w:p>
          <w:p>
            <w:pPr>
              <w:pStyle w:val="null3"/>
              <w:jc w:val="both"/>
            </w:pPr>
            <w:r>
              <w:rPr>
                <w:rFonts w:ascii="仿宋_GB2312" w:hAnsi="仿宋_GB2312" w:cs="仿宋_GB2312" w:eastAsia="仿宋_GB2312"/>
              </w:rPr>
              <w:t>2、关于印发2025陕西省建设工程费用规则等计价依据的通知（陕建管发[2025]10号）；</w:t>
            </w:r>
          </w:p>
          <w:p>
            <w:pPr>
              <w:pStyle w:val="null3"/>
              <w:jc w:val="both"/>
            </w:pPr>
            <w:r>
              <w:rPr>
                <w:rFonts w:ascii="仿宋_GB2312" w:hAnsi="仿宋_GB2312" w:cs="仿宋_GB2312" w:eastAsia="仿宋_GB2312"/>
              </w:rPr>
              <w:t>3、《建设工程工程量清单计价标准》DB/T 5126-2025；</w:t>
            </w:r>
          </w:p>
          <w:p>
            <w:pPr>
              <w:pStyle w:val="null3"/>
              <w:jc w:val="both"/>
            </w:pPr>
            <w:r>
              <w:rPr>
                <w:rFonts w:ascii="仿宋_GB2312" w:hAnsi="仿宋_GB2312" w:cs="仿宋_GB2312" w:eastAsia="仿宋_GB2312"/>
              </w:rPr>
              <w:t>4、《房屋建筑与装饰工程工程量计算标准》DB/T 5129-2025；</w:t>
            </w:r>
          </w:p>
          <w:p>
            <w:pPr>
              <w:pStyle w:val="null3"/>
              <w:jc w:val="both"/>
            </w:pPr>
            <w:r>
              <w:rPr>
                <w:rFonts w:ascii="仿宋_GB2312" w:hAnsi="仿宋_GB2312" w:cs="仿宋_GB2312" w:eastAsia="仿宋_GB2312"/>
              </w:rPr>
              <w:t>5、《通用安装工程工程量计算标准》DB/T 5130-2025；</w:t>
            </w:r>
          </w:p>
          <w:p>
            <w:pPr>
              <w:pStyle w:val="null3"/>
              <w:jc w:val="both"/>
            </w:pPr>
            <w:r>
              <w:rPr>
                <w:rFonts w:ascii="仿宋_GB2312" w:hAnsi="仿宋_GB2312" w:cs="仿宋_GB2312" w:eastAsia="仿宋_GB2312"/>
              </w:rPr>
              <w:t>6、《陕西省房屋建筑与装饰工程消耗量定额（2025）》；</w:t>
            </w:r>
          </w:p>
          <w:p>
            <w:pPr>
              <w:pStyle w:val="null3"/>
              <w:jc w:val="both"/>
            </w:pPr>
            <w:r>
              <w:rPr>
                <w:rFonts w:ascii="仿宋_GB2312" w:hAnsi="仿宋_GB2312" w:cs="仿宋_GB2312" w:eastAsia="仿宋_GB2312"/>
              </w:rPr>
              <w:t>7、《陕西省安装工程消耗量定额（2025）》；</w:t>
            </w:r>
          </w:p>
          <w:p>
            <w:pPr>
              <w:pStyle w:val="null3"/>
              <w:jc w:val="both"/>
            </w:pPr>
            <w:r>
              <w:rPr>
                <w:rFonts w:ascii="仿宋_GB2312" w:hAnsi="仿宋_GB2312" w:cs="仿宋_GB2312" w:eastAsia="仿宋_GB2312"/>
              </w:rPr>
              <w:t>8、《陕西省建设工程费用规则（2025）》；</w:t>
            </w:r>
          </w:p>
          <w:p>
            <w:pPr>
              <w:pStyle w:val="null3"/>
              <w:jc w:val="both"/>
            </w:pPr>
            <w:r>
              <w:rPr>
                <w:rFonts w:ascii="仿宋_GB2312" w:hAnsi="仿宋_GB2312" w:cs="仿宋_GB2312" w:eastAsia="仿宋_GB2312"/>
              </w:rPr>
              <w:t>9、答疑回复、相关标准、施工规范及验收规范及其他资料；</w:t>
            </w:r>
          </w:p>
          <w:p>
            <w:pPr>
              <w:pStyle w:val="null3"/>
              <w:jc w:val="both"/>
            </w:pPr>
            <w:r>
              <w:rPr>
                <w:rFonts w:ascii="仿宋_GB2312" w:hAnsi="仿宋_GB2312" w:cs="仿宋_GB2312" w:eastAsia="仿宋_GB2312"/>
              </w:rPr>
              <w:t>10、软件采用广联达云计价平台GCCP7.0（版本号：7.5000.23.1）</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（二）、施工地点、工期、缺陷责任期、质量保修范围、质量保修期、质量标准。</w:t>
            </w:r>
          </w:p>
          <w:p>
            <w:pPr>
              <w:pStyle w:val="null3"/>
              <w:jc w:val="both"/>
            </w:pPr>
            <w:r>
              <w:rPr>
                <w:rFonts w:ascii="仿宋_GB2312" w:hAnsi="仿宋_GB2312" w:cs="仿宋_GB2312" w:eastAsia="仿宋_GB2312"/>
              </w:rPr>
              <w:t>1.施工地点：采购人指定地点</w:t>
            </w:r>
          </w:p>
          <w:p>
            <w:pPr>
              <w:pStyle w:val="null3"/>
              <w:jc w:val="both"/>
            </w:pPr>
            <w:r>
              <w:rPr>
                <w:rFonts w:ascii="仿宋_GB2312" w:hAnsi="仿宋_GB2312" w:cs="仿宋_GB2312" w:eastAsia="仿宋_GB2312"/>
              </w:rPr>
              <w:t>2.工期：30日历天</w:t>
            </w:r>
          </w:p>
          <w:p>
            <w:pPr>
              <w:pStyle w:val="null3"/>
              <w:jc w:val="both"/>
            </w:pPr>
            <w:r>
              <w:rPr>
                <w:rFonts w:ascii="仿宋_GB2312" w:hAnsi="仿宋_GB2312" w:cs="仿宋_GB2312" w:eastAsia="仿宋_GB2312"/>
              </w:rPr>
              <w:t>3.缺陷责任期：1年</w:t>
            </w:r>
          </w:p>
          <w:p>
            <w:pPr>
              <w:pStyle w:val="null3"/>
              <w:jc w:val="both"/>
            </w:pPr>
            <w:r>
              <w:rPr>
                <w:rFonts w:ascii="仿宋_GB2312" w:hAnsi="仿宋_GB2312" w:cs="仿宋_GB2312" w:eastAsia="仿宋_GB2312"/>
              </w:rPr>
              <w:t>4.质量保修范围：本项目全部内容</w:t>
            </w:r>
          </w:p>
          <w:p>
            <w:pPr>
              <w:pStyle w:val="null3"/>
              <w:jc w:val="both"/>
            </w:pPr>
            <w:r>
              <w:rPr>
                <w:rFonts w:ascii="仿宋_GB2312" w:hAnsi="仿宋_GB2312" w:cs="仿宋_GB2312" w:eastAsia="仿宋_GB2312"/>
              </w:rPr>
              <w:t>5.质量保修期：2年</w:t>
            </w:r>
          </w:p>
          <w:p>
            <w:pPr>
              <w:pStyle w:val="null3"/>
              <w:jc w:val="both"/>
            </w:pPr>
            <w:r>
              <w:rPr>
                <w:rFonts w:ascii="仿宋_GB2312" w:hAnsi="仿宋_GB2312" w:cs="仿宋_GB2312" w:eastAsia="仿宋_GB2312"/>
              </w:rPr>
              <w:t>6.质量标准：符合现行国家有关工程施工验收规范和标准的要求“合格”标准。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符合现行国家有关工程施工验收规范和标准的要求“合格”标准。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（一）、支付方式1、 付款条件说明： 项目合同签订后 ，达到付款条件起 10 日内，支付合同总金额的 30.00%；2、 付款条件说明： 项目验收合格并结算审计完成后 ，达到付款条件起 10 日内，支付合同总金额的 67.00%；3、 付款条件说明： 缺陷责任期满后，无质量问题 ，达到付款条件起 10 日内，支付合同总金额的 3.00%。 （二）供应商所报价格应考虑到可能发生的所有与完成本项目有关的一切费用。磋商报价是供应商为完成本次磋商所要求的货物、服务及工程且验收合格的所有费用，包括但不限于投标人完成本项目所需的人工费、买样费、设备费、管理费、验收费、利润和税金等所产生的全部费用。任何有选择的报价将不予接受，按无效磋商处理。 （三）本项目所属行业为：建筑业。根据《工业和信息化部、国家统计局、国家发展和改革委员会、财政部关于印发中小企业划型标准规定的通知》《工信部联企业(2011)300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（四）、成交供应商在领取成交通知书前，需向采购代理机构提交加盖公章的纸质版响应文件三套，成交供应商应保持响应文件纸质版内容与系统上传内容完全一致，否则将承担一切法律责任。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响应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响应文件截止时间前一年内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 ｛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建设行政主管部门颁发的建筑装修装饰工程专业承包二级（含）以上资质，并具有有效的安全生产许可证；外省进陕企业提供陕西省住房和城乡建设厅官网企业库外省进陕企业信息首页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需具备建筑工程专业二级（含）以上注册建造师证书。具备有效的安全生产考核合格证，在本单位注册，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供应商需在项目电子化交易系统中按要求填写《报价函》、《标的清单》、《响应函附录》并进行电子签章。</w:t>
            </w:r>
          </w:p>
        </w:tc>
        <w:tc>
          <w:tcPr>
            <w:tcW w:type="dxa" w:w="1661"/>
          </w:tcPr>
          <w:p>
            <w:pPr>
              <w:pStyle w:val="null3"/>
            </w:pPr>
            <w:r>
              <w:rPr>
                <w:rFonts w:ascii="仿宋_GB2312" w:hAnsi="仿宋_GB2312" w:cs="仿宋_GB2312" w:eastAsia="仿宋_GB2312"/>
              </w:rPr>
              <w:t>响应函附录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供应商需在项目电子化交易系统中按要求填写《报价函》、《响应函附录》并进行电子签章。</w:t>
            </w:r>
          </w:p>
        </w:tc>
        <w:tc>
          <w:tcPr>
            <w:tcW w:type="dxa" w:w="1661"/>
          </w:tcPr>
          <w:p>
            <w:pPr>
              <w:pStyle w:val="null3"/>
            </w:pPr>
            <w:r>
              <w:rPr>
                <w:rFonts w:ascii="仿宋_GB2312" w:hAnsi="仿宋_GB2312" w:cs="仿宋_GB2312" w:eastAsia="仿宋_GB2312"/>
              </w:rPr>
              <w:t>响应函附录 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已标价工程量清单 响应函附录 中小企业声明函 资格证明材料 技术方案 合同条款响应偏离表 响应文件封面 其他资料 残疾人福利性单位声明函 报价函 标的清单 供应商承诺书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 针对本项目的施工方案及技术措施。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一、评审内容： 针对本项目的施工总进度计划及保证措施。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质量保证措施计划</w:t>
            </w:r>
          </w:p>
        </w:tc>
        <w:tc>
          <w:tcPr>
            <w:tcW w:type="dxa" w:w="2492"/>
          </w:tcPr>
          <w:p>
            <w:pPr>
              <w:pStyle w:val="null3"/>
            </w:pPr>
            <w:r>
              <w:rPr>
                <w:rFonts w:ascii="仿宋_GB2312" w:hAnsi="仿宋_GB2312" w:cs="仿宋_GB2312" w:eastAsia="仿宋_GB2312"/>
              </w:rPr>
              <w:t>一、评审内容： 针对本项目的质量保证措施计划。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施工安全措施计划</w:t>
            </w:r>
          </w:p>
        </w:tc>
        <w:tc>
          <w:tcPr>
            <w:tcW w:type="dxa" w:w="2492"/>
          </w:tcPr>
          <w:p>
            <w:pPr>
              <w:pStyle w:val="null3"/>
            </w:pPr>
            <w:r>
              <w:rPr>
                <w:rFonts w:ascii="仿宋_GB2312" w:hAnsi="仿宋_GB2312" w:cs="仿宋_GB2312" w:eastAsia="仿宋_GB2312"/>
              </w:rPr>
              <w:t>一、评审内容： 针对本项目的施工安全措施计划。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文明施工和环境保护措施计划</w:t>
            </w:r>
          </w:p>
        </w:tc>
        <w:tc>
          <w:tcPr>
            <w:tcW w:type="dxa" w:w="2492"/>
          </w:tcPr>
          <w:p>
            <w:pPr>
              <w:pStyle w:val="null3"/>
            </w:pPr>
            <w:r>
              <w:rPr>
                <w:rFonts w:ascii="仿宋_GB2312" w:hAnsi="仿宋_GB2312" w:cs="仿宋_GB2312" w:eastAsia="仿宋_GB2312"/>
              </w:rPr>
              <w:t>一、评审内容： 针对本项目的文明施工和环境保护措施计划。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针对本项目的施工机械配备和材料投入计划。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针对本项目的人员配备。 二、评审标准： 团队人员数量充足、配备合理、职责明确，完全满足项目需求，得6分； 团队人员数量较为充足、配备较为合理、职责较为明确，满足项目需求，得4分； 团队人员数量较少、配备合理性较差、职责基本明确，基本满足项目需求，得2分；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针对本项目的应急预案。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与采购人、监理的配合方案</w:t>
            </w:r>
          </w:p>
        </w:tc>
        <w:tc>
          <w:tcPr>
            <w:tcW w:type="dxa" w:w="2492"/>
          </w:tcPr>
          <w:p>
            <w:pPr>
              <w:pStyle w:val="null3"/>
            </w:pPr>
            <w:r>
              <w:rPr>
                <w:rFonts w:ascii="仿宋_GB2312" w:hAnsi="仿宋_GB2312" w:cs="仿宋_GB2312" w:eastAsia="仿宋_GB2312"/>
              </w:rPr>
              <w:t>一、评审内容： 针对本项目的与采购人、监理的配合方案。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工程保修工作的管理措施和承诺</w:t>
            </w:r>
          </w:p>
        </w:tc>
        <w:tc>
          <w:tcPr>
            <w:tcW w:type="dxa" w:w="2492"/>
          </w:tcPr>
          <w:p>
            <w:pPr>
              <w:pStyle w:val="null3"/>
            </w:pPr>
            <w:r>
              <w:rPr>
                <w:rFonts w:ascii="仿宋_GB2312" w:hAnsi="仿宋_GB2312" w:cs="仿宋_GB2312" w:eastAsia="仿宋_GB2312"/>
              </w:rPr>
              <w:t>一、评审内容： 针对本项目的工程保修工作的管理措施和承诺。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相关服务承诺</w:t>
            </w:r>
          </w:p>
        </w:tc>
        <w:tc>
          <w:tcPr>
            <w:tcW w:type="dxa" w:w="2492"/>
          </w:tcPr>
          <w:p>
            <w:pPr>
              <w:pStyle w:val="null3"/>
            </w:pPr>
            <w:r>
              <w:rPr>
                <w:rFonts w:ascii="仿宋_GB2312" w:hAnsi="仿宋_GB2312" w:cs="仿宋_GB2312" w:eastAsia="仿宋_GB2312"/>
              </w:rPr>
              <w:t>一、评审内容： 针对本项目的服务承诺。 二、评审标准： 服务承诺明确、合理、内容详实，针对性和可操作性强，得5分； 服务承诺较为明确、合理但不够详细，针对性和可操作性较强，得3分； 服务承诺粗略，针对性和可操作性不足，得1分；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供应商2022年1月至今类似项目业绩；每提供1份得2.5分，最高得5分。 业绩证明（以合同或中标/成交通知书签订日期为准）。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详见附件：响应函附录</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