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版本号：06217-2512XZ268120250922001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垃圾台及水路改造项目(二次)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06217-2512XZ2681</w:t>
      </w:r>
      <w:r>
        <w:br/>
      </w:r>
      <w:r>
        <w:br/>
      </w:r>
      <w:r>
        <w:br/>
      </w:r>
    </w:p>
    <w:p>
      <w:pPr>
        <w:pStyle w:val="null3"/>
        <w:jc w:val="center"/>
        <w:outlineLvl w:val="2"/>
      </w:pPr>
      <w:r>
        <w:rPr>
          <w:rFonts w:ascii="仿宋_GB2312" w:hAnsi="仿宋_GB2312" w:cs="仿宋_GB2312" w:eastAsia="仿宋_GB2312"/>
          <w:sz w:val="28"/>
          <w:b/>
        </w:rPr>
        <w:t>西安市雁塔区第九小学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西安市雁塔区第九小学</w:t>
      </w:r>
      <w:r>
        <w:rPr>
          <w:rFonts w:ascii="仿宋_GB2312" w:hAnsi="仿宋_GB2312" w:cs="仿宋_GB2312" w:eastAsia="仿宋_GB2312"/>
        </w:rPr>
        <w:t>委托，拟对</w:t>
      </w:r>
      <w:r>
        <w:rPr>
          <w:rFonts w:ascii="仿宋_GB2312" w:hAnsi="仿宋_GB2312" w:cs="仿宋_GB2312" w:eastAsia="仿宋_GB2312"/>
        </w:rPr>
        <w:t>垃圾台及水路改造项目(二次)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06217-2512XZ2681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垃圾台及水路改造项目(二次)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学校为新建校，学校现阶段无垃圾分类台，垃圾桶无处安放，无法培养师生良好的垃圾分类习惯，营造绿色、环保的校园环境。且学校现阶段与28幼儿园水电无法分离，应上级部门要求，建立垃圾分类台并且对水路进行改造，以满足学校日常使用。学校决定实施垃圾分类台及水路改造项目。通过合理设置垃圾分类台，并对相关区域的水路进行改造，以满足垃圾分类处理和清洁的需求，提升校园环境管理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采购包1（垃圾台及水路改造）：属于专门面向中小企业采购。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1、供应商和拟派项目负责人资质和专业要求。：1）供应商具备建筑装修装饰工程专业承包二级及以上资质，并具有有效的安全生产许可证。 2）拟派项目经理具备建筑工程专业二级及以上注册建造师执业资格及有效的安全生产考核合格证书（安全B证），注册在本单位且未担任其他在建工程项目的项目经理。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西安市雁塔区第九小学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西安市雁塔区岳旗寨安置小区东侧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西安市雁塔区第九小学经办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18092789523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张越、张鑫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代理服务费收费标准：1.代理服务费收费标准：固定收费3000.00元。 2.缴费时间：确定成交人后3日内，由成交人向采购代理机构一次付清采购代理服务费。 3.银行信息: 户名：西北（陕西）国际招标有限公司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西安市雁塔区第九小学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西安市雁塔区第九小学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西安市雁塔区第九小学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垃圾台及水路改造</w:t>
            </w:r>
          </w:p>
        </w:tc>
        <w:tc>
          <w:tcPr>
            <w:tcW w:type="dxa" w:w="1384"/>
          </w:tcPr>
          <w:p>
            <w:pPr>
              <w:pStyle w:val="null3"/>
              <w:jc w:val="right"/>
            </w:pPr>
            <w:r>
              <w:rPr>
                <w:rFonts w:ascii="仿宋_GB2312" w:hAnsi="仿宋_GB2312" w:cs="仿宋_GB2312" w:eastAsia="仿宋_GB2312"/>
              </w:rPr>
              <w:t>2.00</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pPr>
            <w:r>
              <w:rPr>
                <w:rFonts w:ascii="仿宋_GB2312" w:hAnsi="仿宋_GB2312" w:cs="仿宋_GB2312" w:eastAsia="仿宋_GB2312"/>
              </w:rPr>
              <w:t>套</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标的名称：垃圾台及水路改造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36363D"/>
              </w:rPr>
              <w:t>一、采购内容</w:t>
            </w:r>
          </w:p>
          <w:p>
            <w:pPr>
              <w:pStyle w:val="null3"/>
              <w:jc w:val="both"/>
            </w:pPr>
            <w:r>
              <w:rPr>
                <w:rFonts w:ascii="仿宋_GB2312" w:hAnsi="仿宋_GB2312" w:cs="仿宋_GB2312" w:eastAsia="仿宋_GB2312"/>
                <w:sz w:val="21"/>
                <w:color w:val="36363D"/>
              </w:rPr>
              <w:t>1.1项目编号：0617-</w:t>
            </w:r>
            <w:r>
              <w:rPr>
                <w:rFonts w:ascii="仿宋_GB2312" w:hAnsi="仿宋_GB2312" w:cs="仿宋_GB2312" w:eastAsia="仿宋_GB2312"/>
                <w:sz w:val="21"/>
                <w:color w:val="36363D"/>
              </w:rPr>
              <w:t>2512XZ2350</w:t>
            </w:r>
          </w:p>
          <w:p>
            <w:pPr>
              <w:pStyle w:val="null3"/>
              <w:jc w:val="both"/>
            </w:pPr>
            <w:r>
              <w:rPr>
                <w:rFonts w:ascii="仿宋_GB2312" w:hAnsi="仿宋_GB2312" w:cs="仿宋_GB2312" w:eastAsia="仿宋_GB2312"/>
                <w:sz w:val="21"/>
                <w:color w:val="36363D"/>
              </w:rPr>
              <w:t>1.2项目名称：</w:t>
            </w:r>
            <w:r>
              <w:rPr>
                <w:rFonts w:ascii="仿宋_GB2312" w:hAnsi="仿宋_GB2312" w:cs="仿宋_GB2312" w:eastAsia="仿宋_GB2312"/>
                <w:sz w:val="21"/>
                <w:color w:val="36363D"/>
              </w:rPr>
              <w:t>垃圾台及水路改造</w:t>
            </w:r>
          </w:p>
          <w:p>
            <w:pPr>
              <w:pStyle w:val="null3"/>
              <w:jc w:val="both"/>
            </w:pPr>
            <w:r>
              <w:rPr>
                <w:rFonts w:ascii="仿宋_GB2312" w:hAnsi="仿宋_GB2312" w:cs="仿宋_GB2312" w:eastAsia="仿宋_GB2312"/>
                <w:sz w:val="21"/>
                <w:color w:val="36363D"/>
              </w:rPr>
              <w:t>1.</w:t>
            </w:r>
            <w:r>
              <w:rPr>
                <w:rFonts w:ascii="仿宋_GB2312" w:hAnsi="仿宋_GB2312" w:cs="仿宋_GB2312" w:eastAsia="仿宋_GB2312"/>
                <w:sz w:val="21"/>
                <w:color w:val="36363D"/>
              </w:rPr>
              <w:t>3项目需求：</w:t>
            </w:r>
            <w:r>
              <w:rPr>
                <w:rFonts w:ascii="仿宋_GB2312" w:hAnsi="仿宋_GB2312" w:cs="仿宋_GB2312" w:eastAsia="仿宋_GB2312"/>
                <w:sz w:val="21"/>
                <w:color w:val="36363D"/>
              </w:rPr>
              <w:t>因学校为新建校，学校现阶段无垃圾分类台，垃圾桶无处安放，无法培养师生良好的垃圾分类习惯，营造绿色、环保的校园环境。且学校现阶段与</w:t>
            </w:r>
            <w:r>
              <w:rPr>
                <w:rFonts w:ascii="仿宋_GB2312" w:hAnsi="仿宋_GB2312" w:cs="仿宋_GB2312" w:eastAsia="仿宋_GB2312"/>
                <w:sz w:val="21"/>
                <w:color w:val="36363D"/>
              </w:rPr>
              <w:t>28幼儿园水电无法分离，应上级部门要求，建立垃圾分类台并且对水路进行改造，以满足学校日常使用。学校决定实施垃圾分类台及水路改造项目。通过合理设置垃圾分类台，并对相关区域的水路进行改造，以满足垃圾分类处理和清洁的需求，提升校园环境管理水平</w:t>
            </w:r>
            <w:r>
              <w:rPr>
                <w:rFonts w:ascii="仿宋_GB2312" w:hAnsi="仿宋_GB2312" w:cs="仿宋_GB2312" w:eastAsia="仿宋_GB2312"/>
                <w:sz w:val="21"/>
                <w:color w:val="36363D"/>
              </w:rPr>
              <w:t>。</w:t>
            </w:r>
          </w:p>
          <w:p>
            <w:pPr>
              <w:pStyle w:val="null3"/>
              <w:jc w:val="both"/>
            </w:pPr>
            <w:r>
              <w:rPr>
                <w:rFonts w:ascii="仿宋_GB2312" w:hAnsi="仿宋_GB2312" w:cs="仿宋_GB2312" w:eastAsia="仿宋_GB2312"/>
                <w:sz w:val="21"/>
                <w:b/>
                <w:color w:val="36363D"/>
              </w:rPr>
              <w:t>二、技术标准及服务要求</w:t>
            </w:r>
          </w:p>
          <w:p>
            <w:pPr>
              <w:pStyle w:val="null3"/>
              <w:jc w:val="both"/>
            </w:pPr>
            <w:r>
              <w:rPr>
                <w:rFonts w:ascii="仿宋_GB2312" w:hAnsi="仿宋_GB2312" w:cs="仿宋_GB2312" w:eastAsia="仿宋_GB2312"/>
                <w:sz w:val="21"/>
                <w:b/>
                <w:color w:val="36363D"/>
              </w:rPr>
              <w:t>*</w:t>
            </w:r>
            <w:r>
              <w:rPr>
                <w:rFonts w:ascii="仿宋_GB2312" w:hAnsi="仿宋_GB2312" w:cs="仿宋_GB2312" w:eastAsia="仿宋_GB2312"/>
                <w:sz w:val="21"/>
                <w:color w:val="36363D"/>
              </w:rPr>
              <w:t>2.1技术标准</w:t>
            </w:r>
          </w:p>
          <w:p>
            <w:pPr>
              <w:pStyle w:val="null3"/>
              <w:jc w:val="both"/>
            </w:pPr>
            <w:r>
              <w:rPr>
                <w:rFonts w:ascii="仿宋_GB2312" w:hAnsi="仿宋_GB2312" w:cs="仿宋_GB2312" w:eastAsia="仿宋_GB2312"/>
                <w:sz w:val="21"/>
                <w:color w:val="36363D"/>
              </w:rPr>
              <w:t>本服务项目应满足的技术标准：达到国家及行业验收规范</w:t>
            </w:r>
            <w:r>
              <w:rPr>
                <w:rFonts w:ascii="仿宋_GB2312" w:hAnsi="仿宋_GB2312" w:cs="仿宋_GB2312" w:eastAsia="仿宋_GB2312"/>
                <w:sz w:val="21"/>
                <w:color w:val="36363D"/>
              </w:rPr>
              <w:t>“合格”标准</w:t>
            </w:r>
          </w:p>
          <w:p>
            <w:pPr>
              <w:pStyle w:val="null3"/>
              <w:jc w:val="both"/>
            </w:pPr>
            <w:r>
              <w:rPr>
                <w:rFonts w:ascii="仿宋_GB2312" w:hAnsi="仿宋_GB2312" w:cs="仿宋_GB2312" w:eastAsia="仿宋_GB2312"/>
                <w:sz w:val="21"/>
                <w:b/>
                <w:color w:val="36363D"/>
              </w:rPr>
              <w:t>*</w:t>
            </w:r>
            <w:r>
              <w:rPr>
                <w:rFonts w:ascii="仿宋_GB2312" w:hAnsi="仿宋_GB2312" w:cs="仿宋_GB2312" w:eastAsia="仿宋_GB2312"/>
                <w:sz w:val="21"/>
                <w:color w:val="36363D"/>
              </w:rPr>
              <w:t>2.2其他要求</w:t>
            </w:r>
          </w:p>
          <w:p>
            <w:pPr>
              <w:pStyle w:val="null3"/>
              <w:jc w:val="both"/>
            </w:pPr>
            <w:r>
              <w:rPr>
                <w:rFonts w:ascii="仿宋_GB2312" w:hAnsi="仿宋_GB2312" w:cs="仿宋_GB2312" w:eastAsia="仿宋_GB2312"/>
                <w:sz w:val="21"/>
                <w:color w:val="36363D"/>
              </w:rPr>
              <w:t>2.2</w:t>
            </w:r>
            <w:r>
              <w:rPr>
                <w:rFonts w:ascii="仿宋_GB2312" w:hAnsi="仿宋_GB2312" w:cs="仿宋_GB2312" w:eastAsia="仿宋_GB2312"/>
                <w:sz w:val="21"/>
                <w:color w:val="36363D"/>
              </w:rPr>
              <w:t>.1 本工作范围描述的工作只是概括性的，不应认为是全面的、无缺的，但并不限于或排除从合同文本（法规）或根据实际情况，有经验的</w:t>
            </w:r>
            <w:r>
              <w:rPr>
                <w:rFonts w:ascii="仿宋_GB2312" w:hAnsi="仿宋_GB2312" w:cs="仿宋_GB2312" w:eastAsia="仿宋_GB2312"/>
                <w:sz w:val="21"/>
                <w:color w:val="36363D"/>
              </w:rPr>
              <w:t>供应商</w:t>
            </w:r>
            <w:r>
              <w:rPr>
                <w:rFonts w:ascii="仿宋_GB2312" w:hAnsi="仿宋_GB2312" w:cs="仿宋_GB2312" w:eastAsia="仿宋_GB2312"/>
                <w:sz w:val="21"/>
                <w:color w:val="36363D"/>
              </w:rPr>
              <w:t>可以推断的为完成一个完整</w:t>
            </w:r>
            <w:r>
              <w:rPr>
                <w:rFonts w:ascii="仿宋_GB2312" w:hAnsi="仿宋_GB2312" w:cs="仿宋_GB2312" w:eastAsia="仿宋_GB2312"/>
                <w:sz w:val="21"/>
                <w:color w:val="36363D"/>
              </w:rPr>
              <w:t>服务项目</w:t>
            </w:r>
            <w:r>
              <w:rPr>
                <w:rFonts w:ascii="仿宋_GB2312" w:hAnsi="仿宋_GB2312" w:cs="仿宋_GB2312" w:eastAsia="仿宋_GB2312"/>
                <w:sz w:val="21"/>
                <w:color w:val="36363D"/>
              </w:rPr>
              <w:t>所需要的全部工作。</w:t>
            </w:r>
          </w:p>
          <w:p>
            <w:pPr>
              <w:pStyle w:val="null3"/>
              <w:jc w:val="both"/>
            </w:pPr>
            <w:r>
              <w:rPr>
                <w:rFonts w:ascii="仿宋_GB2312" w:hAnsi="仿宋_GB2312" w:cs="仿宋_GB2312" w:eastAsia="仿宋_GB2312"/>
                <w:sz w:val="21"/>
                <w:color w:val="36363D"/>
              </w:rPr>
              <w:t>2.2</w:t>
            </w:r>
            <w:r>
              <w:rPr>
                <w:rFonts w:ascii="仿宋_GB2312" w:hAnsi="仿宋_GB2312" w:cs="仿宋_GB2312" w:eastAsia="仿宋_GB2312"/>
                <w:sz w:val="21"/>
                <w:color w:val="36363D"/>
              </w:rPr>
              <w:t xml:space="preserve">.2 </w:t>
            </w:r>
            <w:r>
              <w:rPr>
                <w:rFonts w:ascii="仿宋_GB2312" w:hAnsi="仿宋_GB2312" w:cs="仿宋_GB2312" w:eastAsia="仿宋_GB2312"/>
                <w:sz w:val="21"/>
                <w:color w:val="36363D"/>
              </w:rPr>
              <w:t>供应商</w:t>
            </w:r>
            <w:r>
              <w:rPr>
                <w:rFonts w:ascii="仿宋_GB2312" w:hAnsi="仿宋_GB2312" w:cs="仿宋_GB2312" w:eastAsia="仿宋_GB2312"/>
                <w:sz w:val="21"/>
                <w:color w:val="36363D"/>
              </w:rPr>
              <w:t>应该提供其完成合同约定内容所需要的人工、材料、加工场所、工具、设备、放线、测量和布置以及外运、成品保护、修补缺陷以及为完成</w:t>
            </w:r>
            <w:r>
              <w:rPr>
                <w:rFonts w:ascii="仿宋_GB2312" w:hAnsi="仿宋_GB2312" w:cs="仿宋_GB2312" w:eastAsia="仿宋_GB2312"/>
                <w:sz w:val="21"/>
                <w:color w:val="36363D"/>
              </w:rPr>
              <w:t>本服务</w:t>
            </w:r>
            <w:r>
              <w:rPr>
                <w:rFonts w:ascii="仿宋_GB2312" w:hAnsi="仿宋_GB2312" w:cs="仿宋_GB2312" w:eastAsia="仿宋_GB2312"/>
                <w:sz w:val="21"/>
                <w:color w:val="36363D"/>
              </w:rPr>
              <w:t>所包括的所有工作内容。</w:t>
            </w:r>
          </w:p>
          <w:p>
            <w:pPr>
              <w:pStyle w:val="null3"/>
              <w:jc w:val="both"/>
            </w:pPr>
            <w:r>
              <w:rPr>
                <w:rFonts w:ascii="仿宋_GB2312" w:hAnsi="仿宋_GB2312" w:cs="仿宋_GB2312" w:eastAsia="仿宋_GB2312"/>
                <w:sz w:val="21"/>
                <w:color w:val="36363D"/>
              </w:rPr>
              <w:t>2.2</w:t>
            </w:r>
            <w:r>
              <w:rPr>
                <w:rFonts w:ascii="仿宋_GB2312" w:hAnsi="仿宋_GB2312" w:cs="仿宋_GB2312" w:eastAsia="仿宋_GB2312"/>
                <w:sz w:val="21"/>
                <w:color w:val="36363D"/>
              </w:rPr>
              <w:t xml:space="preserve">.3 </w:t>
            </w:r>
            <w:r>
              <w:rPr>
                <w:rFonts w:ascii="仿宋_GB2312" w:hAnsi="仿宋_GB2312" w:cs="仿宋_GB2312" w:eastAsia="仿宋_GB2312"/>
                <w:sz w:val="21"/>
                <w:color w:val="36363D"/>
              </w:rPr>
              <w:t>供应商在具体实施服务过程中，应采取必要措施对学校现有工程及设施设备进行保护，以防施工过程造成污染或损毁。如因承包人原因造成已有设施设备损坏的，将承担相应经济责任。</w:t>
            </w:r>
          </w:p>
          <w:p>
            <w:pPr>
              <w:pStyle w:val="null3"/>
              <w:jc w:val="both"/>
            </w:pPr>
            <w:r>
              <w:rPr>
                <w:rFonts w:ascii="仿宋_GB2312" w:hAnsi="仿宋_GB2312" w:cs="仿宋_GB2312" w:eastAsia="仿宋_GB2312"/>
                <w:sz w:val="21"/>
                <w:color w:val="36363D"/>
              </w:rPr>
              <w:t>2.2</w:t>
            </w:r>
            <w:r>
              <w:rPr>
                <w:rFonts w:ascii="仿宋_GB2312" w:hAnsi="仿宋_GB2312" w:cs="仿宋_GB2312" w:eastAsia="仿宋_GB2312"/>
                <w:sz w:val="21"/>
                <w:color w:val="36363D"/>
              </w:rPr>
              <w:t>.4</w:t>
            </w:r>
            <w:r>
              <w:rPr>
                <w:rFonts w:ascii="仿宋_GB2312" w:hAnsi="仿宋_GB2312" w:cs="仿宋_GB2312" w:eastAsia="仿宋_GB2312"/>
                <w:sz w:val="21"/>
                <w:color w:val="36363D"/>
              </w:rPr>
              <w:t>水路改造完成后，进行严格的水压测试和漏水检测，确保水路系统安全运行，避免出现漏水、爆管等安全隐患</w:t>
            </w:r>
            <w:r>
              <w:rPr>
                <w:rFonts w:ascii="仿宋_GB2312" w:hAnsi="仿宋_GB2312" w:cs="仿宋_GB2312" w:eastAsia="仿宋_GB2312"/>
                <w:sz w:val="21"/>
                <w:color w:val="36363D"/>
              </w:rPr>
              <w:t>。</w:t>
            </w:r>
          </w:p>
          <w:p>
            <w:pPr>
              <w:pStyle w:val="null3"/>
              <w:jc w:val="both"/>
            </w:pPr>
            <w:r>
              <w:rPr>
                <w:rFonts w:ascii="仿宋_GB2312" w:hAnsi="仿宋_GB2312" w:cs="仿宋_GB2312" w:eastAsia="仿宋_GB2312"/>
                <w:sz w:val="21"/>
                <w:color w:val="36363D"/>
              </w:rPr>
              <w:t>2.3.5</w:t>
            </w:r>
            <w:r>
              <w:rPr>
                <w:rFonts w:ascii="仿宋_GB2312" w:hAnsi="仿宋_GB2312" w:cs="仿宋_GB2312" w:eastAsia="仿宋_GB2312"/>
                <w:sz w:val="21"/>
                <w:color w:val="36363D"/>
              </w:rPr>
              <w:t>报价应</w:t>
            </w:r>
            <w:r>
              <w:rPr>
                <w:rFonts w:ascii="仿宋_GB2312" w:hAnsi="仿宋_GB2312" w:cs="仿宋_GB2312" w:eastAsia="仿宋_GB2312"/>
                <w:sz w:val="21"/>
                <w:color w:val="36363D"/>
              </w:rPr>
              <w:t>为</w:t>
            </w:r>
            <w:r>
              <w:rPr>
                <w:rFonts w:ascii="仿宋_GB2312" w:hAnsi="仿宋_GB2312" w:cs="仿宋_GB2312" w:eastAsia="仿宋_GB2312"/>
                <w:sz w:val="21"/>
                <w:color w:val="36363D"/>
              </w:rPr>
              <w:t>按照</w:t>
            </w:r>
            <w:r>
              <w:rPr>
                <w:rFonts w:ascii="仿宋_GB2312" w:hAnsi="仿宋_GB2312" w:cs="仿宋_GB2312" w:eastAsia="仿宋_GB2312"/>
                <w:sz w:val="21"/>
                <w:color w:val="36363D"/>
              </w:rPr>
              <w:t>采购</w:t>
            </w:r>
            <w:r>
              <w:rPr>
                <w:rFonts w:ascii="仿宋_GB2312" w:hAnsi="仿宋_GB2312" w:cs="仿宋_GB2312" w:eastAsia="仿宋_GB2312"/>
                <w:sz w:val="21"/>
                <w:color w:val="36363D"/>
              </w:rPr>
              <w:t>文件规定、完成</w:t>
            </w:r>
            <w:r>
              <w:rPr>
                <w:rFonts w:ascii="仿宋_GB2312" w:hAnsi="仿宋_GB2312" w:cs="仿宋_GB2312" w:eastAsia="仿宋_GB2312"/>
                <w:sz w:val="21"/>
                <w:color w:val="36363D"/>
              </w:rPr>
              <w:t>采购</w:t>
            </w:r>
            <w:r>
              <w:rPr>
                <w:rFonts w:ascii="仿宋_GB2312" w:hAnsi="仿宋_GB2312" w:cs="仿宋_GB2312" w:eastAsia="仿宋_GB2312"/>
                <w:sz w:val="21"/>
                <w:color w:val="36363D"/>
              </w:rPr>
              <w:t>范围内的全部费用，包括但不限于完成工作的成本、利润、税金、措施费、二次搬运、大型机械进出场费、风险费以及政策性文件规定费用等，不得以任何理由予以重复计算。现场各种不利因素（如施工周围协调费、当地农民施工干扰等）均应由</w:t>
            </w:r>
            <w:r>
              <w:rPr>
                <w:rFonts w:ascii="仿宋_GB2312" w:hAnsi="仿宋_GB2312" w:cs="仿宋_GB2312" w:eastAsia="仿宋_GB2312"/>
                <w:sz w:val="21"/>
                <w:color w:val="36363D"/>
              </w:rPr>
              <w:t>供应商</w:t>
            </w:r>
            <w:r>
              <w:rPr>
                <w:rFonts w:ascii="仿宋_GB2312" w:hAnsi="仿宋_GB2312" w:cs="仿宋_GB2312" w:eastAsia="仿宋_GB2312"/>
                <w:sz w:val="21"/>
                <w:color w:val="36363D"/>
              </w:rPr>
              <w:t>承担并包含在相应的报价中，结算时一律不作调整。</w:t>
            </w:r>
          </w:p>
          <w:p>
            <w:pPr>
              <w:pStyle w:val="null3"/>
              <w:jc w:val="both"/>
            </w:pPr>
            <w:r>
              <w:rPr>
                <w:rFonts w:ascii="仿宋_GB2312" w:hAnsi="仿宋_GB2312" w:cs="仿宋_GB2312" w:eastAsia="仿宋_GB2312"/>
                <w:sz w:val="21"/>
                <w:color w:val="36363D"/>
              </w:rPr>
              <w:t>2.3.6采购人规定了推荐材料品牌的，供应商应按采购人推荐的品牌或相当于推荐品牌品质档次的设备、材料进行报价,供应商应在材料表中标明所选的厂家、品牌等信息，未按采购文件规定标注或标注的信息不符合采购文件要求时，按无效响应或不利于供应商原则处理，采购人有权在指定范围内选择最优选项，供应商且不能得到费用补偿。</w:t>
            </w:r>
          </w:p>
          <w:p>
            <w:pPr>
              <w:pStyle w:val="null3"/>
              <w:jc w:val="both"/>
            </w:pPr>
            <w:r>
              <w:rPr>
                <w:rFonts w:ascii="仿宋_GB2312" w:hAnsi="仿宋_GB2312" w:cs="仿宋_GB2312" w:eastAsia="仿宋_GB2312"/>
                <w:sz w:val="21"/>
                <w:color w:val="36363D"/>
              </w:rPr>
              <w:t>2.3.7</w:t>
            </w:r>
            <w:r>
              <w:rPr>
                <w:rFonts w:ascii="仿宋_GB2312" w:hAnsi="仿宋_GB2312" w:cs="仿宋_GB2312" w:eastAsia="仿宋_GB2312"/>
                <w:sz w:val="21"/>
                <w:color w:val="36363D"/>
              </w:rPr>
              <w:t>合同价款采用固定</w:t>
            </w:r>
            <w:r>
              <w:rPr>
                <w:rFonts w:ascii="仿宋_GB2312" w:hAnsi="仿宋_GB2312" w:cs="仿宋_GB2312" w:eastAsia="仿宋_GB2312"/>
                <w:sz w:val="21"/>
                <w:color w:val="36363D"/>
              </w:rPr>
              <w:t>总价</w:t>
            </w:r>
            <w:r>
              <w:rPr>
                <w:rFonts w:ascii="仿宋_GB2312" w:hAnsi="仿宋_GB2312" w:cs="仿宋_GB2312" w:eastAsia="仿宋_GB2312"/>
                <w:sz w:val="21"/>
                <w:color w:val="36363D"/>
              </w:rPr>
              <w:t>合同方式确定。</w:t>
            </w:r>
            <w:r>
              <w:rPr>
                <w:rFonts w:ascii="仿宋_GB2312" w:hAnsi="仿宋_GB2312" w:cs="仿宋_GB2312" w:eastAsia="仿宋_GB2312"/>
                <w:sz w:val="21"/>
                <w:color w:val="36363D"/>
              </w:rPr>
              <w:t>合同总价包含采购范围内所有服务内容，不因供应商的错算漏算合同内容而调整价款。</w:t>
            </w:r>
          </w:p>
          <w:p>
            <w:pPr>
              <w:pStyle w:val="null3"/>
              <w:jc w:val="both"/>
            </w:pPr>
            <w:r>
              <w:rPr>
                <w:rFonts w:ascii="仿宋_GB2312" w:hAnsi="仿宋_GB2312" w:cs="仿宋_GB2312" w:eastAsia="仿宋_GB2312"/>
                <w:sz w:val="21"/>
                <w:color w:val="36363D"/>
              </w:rPr>
              <w:t>2.3.8采购人认定的不合格材料、设备，供应商必须在</w:t>
            </w:r>
            <w:r>
              <w:rPr>
                <w:rFonts w:ascii="仿宋_GB2312" w:hAnsi="仿宋_GB2312" w:cs="仿宋_GB2312" w:eastAsia="仿宋_GB2312"/>
                <w:sz w:val="21"/>
                <w:color w:val="36363D"/>
              </w:rPr>
              <w:t>24</w:t>
            </w:r>
            <w:r>
              <w:rPr>
                <w:rFonts w:ascii="仿宋_GB2312" w:hAnsi="仿宋_GB2312" w:cs="仿宋_GB2312" w:eastAsia="仿宋_GB2312"/>
                <w:sz w:val="21"/>
                <w:color w:val="36363D"/>
              </w:rPr>
              <w:t>小时内清理出场，并按采购人要求重新提供满足要求的材料、设备，费用包含在合同总价中。</w:t>
            </w:r>
          </w:p>
          <w:p>
            <w:pPr>
              <w:pStyle w:val="null3"/>
              <w:jc w:val="both"/>
            </w:pPr>
            <w:r>
              <w:rPr>
                <w:rFonts w:ascii="仿宋_GB2312" w:hAnsi="仿宋_GB2312" w:cs="仿宋_GB2312" w:eastAsia="仿宋_GB2312"/>
                <w:sz w:val="21"/>
                <w:color w:val="36363D"/>
              </w:rPr>
              <w:t>三、商务要求</w:t>
            </w:r>
          </w:p>
          <w:p>
            <w:pPr>
              <w:pStyle w:val="null3"/>
              <w:jc w:val="both"/>
            </w:pPr>
            <w:r>
              <w:rPr>
                <w:rFonts w:ascii="仿宋_GB2312" w:hAnsi="仿宋_GB2312" w:cs="仿宋_GB2312" w:eastAsia="仿宋_GB2312"/>
                <w:sz w:val="21"/>
                <w:b/>
                <w:color w:val="36363D"/>
              </w:rPr>
              <w:t>*3.1服务期：</w:t>
            </w:r>
            <w:r>
              <w:rPr>
                <w:rFonts w:ascii="仿宋_GB2312" w:hAnsi="仿宋_GB2312" w:cs="仿宋_GB2312" w:eastAsia="仿宋_GB2312"/>
                <w:sz w:val="21"/>
                <w:b/>
                <w:color w:val="36363D"/>
              </w:rPr>
              <w:t>8</w:t>
            </w:r>
            <w:r>
              <w:rPr>
                <w:rFonts w:ascii="仿宋_GB2312" w:hAnsi="仿宋_GB2312" w:cs="仿宋_GB2312" w:eastAsia="仿宋_GB2312"/>
                <w:sz w:val="21"/>
                <w:b/>
                <w:color w:val="36363D"/>
              </w:rPr>
              <w:t>日历天。</w:t>
            </w:r>
          </w:p>
          <w:p>
            <w:pPr>
              <w:pStyle w:val="null3"/>
              <w:jc w:val="both"/>
            </w:pPr>
            <w:r>
              <w:rPr>
                <w:rFonts w:ascii="仿宋_GB2312" w:hAnsi="仿宋_GB2312" w:cs="仿宋_GB2312" w:eastAsia="仿宋_GB2312"/>
                <w:sz w:val="21"/>
                <w:b/>
                <w:color w:val="36363D"/>
              </w:rPr>
              <w:t>*</w:t>
            </w:r>
            <w:r>
              <w:rPr>
                <w:rFonts w:ascii="仿宋_GB2312" w:hAnsi="仿宋_GB2312" w:cs="仿宋_GB2312" w:eastAsia="仿宋_GB2312"/>
                <w:sz w:val="21"/>
                <w:color w:val="36363D"/>
              </w:rPr>
              <w:t xml:space="preserve">3.2质量要求：合格  </w:t>
            </w:r>
          </w:p>
          <w:p>
            <w:pPr>
              <w:pStyle w:val="null3"/>
              <w:jc w:val="both"/>
            </w:pPr>
            <w:r>
              <w:rPr>
                <w:rFonts w:ascii="仿宋_GB2312" w:hAnsi="仿宋_GB2312" w:cs="仿宋_GB2312" w:eastAsia="仿宋_GB2312"/>
                <w:sz w:val="21"/>
                <w:b/>
                <w:color w:val="36363D"/>
              </w:rPr>
              <w:t>*</w:t>
            </w:r>
            <w:r>
              <w:rPr>
                <w:rFonts w:ascii="仿宋_GB2312" w:hAnsi="仿宋_GB2312" w:cs="仿宋_GB2312" w:eastAsia="仿宋_GB2312"/>
                <w:sz w:val="21"/>
                <w:color w:val="36363D"/>
              </w:rPr>
              <w:t>3.3合同价款支付方式：见《合同条款及格式》第二条“合同金额及结算方式”。</w:t>
            </w:r>
          </w:p>
          <w:p>
            <w:pPr>
              <w:pStyle w:val="null3"/>
              <w:jc w:val="both"/>
            </w:pPr>
            <w:r>
              <w:rPr>
                <w:rFonts w:ascii="仿宋_GB2312" w:hAnsi="仿宋_GB2312" w:cs="仿宋_GB2312" w:eastAsia="仿宋_GB2312"/>
                <w:sz w:val="21"/>
                <w:color w:val="36363D"/>
              </w:rPr>
              <w:t>注：本章以</w:t>
            </w:r>
            <w:r>
              <w:rPr>
                <w:rFonts w:ascii="仿宋_GB2312" w:hAnsi="仿宋_GB2312" w:cs="仿宋_GB2312" w:eastAsia="仿宋_GB2312"/>
                <w:sz w:val="21"/>
                <w:color w:val="36363D"/>
              </w:rPr>
              <w:t>“</w:t>
            </w:r>
            <w:r>
              <w:rPr>
                <w:rFonts w:ascii="仿宋_GB2312" w:hAnsi="仿宋_GB2312" w:cs="仿宋_GB2312" w:eastAsia="仿宋_GB2312"/>
                <w:sz w:val="21"/>
                <w:b/>
                <w:color w:val="36363D"/>
              </w:rPr>
              <w:t>*</w:t>
            </w:r>
            <w:r>
              <w:rPr>
                <w:rFonts w:ascii="仿宋_GB2312" w:hAnsi="仿宋_GB2312" w:cs="仿宋_GB2312" w:eastAsia="仿宋_GB2312"/>
                <w:sz w:val="21"/>
                <w:color w:val="36363D"/>
              </w:rPr>
              <w:t>”号标记的条款为不允许偏离的实质性要求，</w:t>
            </w:r>
            <w:r>
              <w:rPr>
                <w:rFonts w:ascii="仿宋_GB2312" w:hAnsi="仿宋_GB2312" w:cs="仿宋_GB2312" w:eastAsia="仿宋_GB2312"/>
                <w:sz w:val="21"/>
                <w:color w:val="36363D"/>
              </w:rPr>
              <w:t>供应商必须</w:t>
            </w:r>
            <w:r>
              <w:rPr>
                <w:rFonts w:ascii="仿宋_GB2312" w:hAnsi="仿宋_GB2312" w:cs="仿宋_GB2312" w:eastAsia="仿宋_GB2312"/>
                <w:sz w:val="21"/>
                <w:color w:val="36363D"/>
              </w:rPr>
              <w:t>完全</w:t>
            </w:r>
            <w:r>
              <w:rPr>
                <w:rFonts w:ascii="仿宋_GB2312" w:hAnsi="仿宋_GB2312" w:cs="仿宋_GB2312" w:eastAsia="仿宋_GB2312"/>
                <w:sz w:val="21"/>
                <w:color w:val="36363D"/>
              </w:rPr>
              <w:t>响应</w:t>
            </w:r>
            <w:r>
              <w:rPr>
                <w:rFonts w:ascii="仿宋_GB2312" w:hAnsi="仿宋_GB2312" w:cs="仿宋_GB2312" w:eastAsia="仿宋_GB2312"/>
                <w:sz w:val="21"/>
                <w:color w:val="36363D"/>
              </w:rPr>
              <w:t>否则视为无效响应。</w:t>
            </w:r>
          </w:p>
          <w:p>
            <w:pPr>
              <w:pStyle w:val="null3"/>
              <w:jc w:val="center"/>
            </w:pPr>
            <w:r>
              <w:rPr>
                <w:rFonts w:ascii="仿宋_GB2312" w:hAnsi="仿宋_GB2312" w:cs="仿宋_GB2312" w:eastAsia="仿宋_GB2312"/>
                <w:sz w:val="21"/>
                <w:color w:val="36363D"/>
              </w:rPr>
              <w:t>水路改造</w:t>
            </w:r>
            <w:r>
              <w:rPr>
                <w:rFonts w:ascii="仿宋_GB2312" w:hAnsi="仿宋_GB2312" w:cs="仿宋_GB2312" w:eastAsia="仿宋_GB2312"/>
                <w:sz w:val="21"/>
                <w:color w:val="36363D"/>
              </w:rPr>
              <w:t>项目清单</w:t>
            </w:r>
          </w:p>
          <w:tbl>
            <w:tblPr>
              <w:tblInd w:type="dxa" w:w="120"/>
              <w:tblBorders>
                <w:top w:val="none" w:color="000000" w:sz="4"/>
                <w:left w:val="none" w:color="000000" w:sz="4"/>
                <w:bottom w:val="none" w:color="000000" w:sz="4"/>
                <w:right w:val="none" w:color="000000" w:sz="4"/>
                <w:insideH w:val="none"/>
                <w:insideV w:val="none"/>
              </w:tblBorders>
            </w:tblPr>
            <w:tblGrid>
              <w:gridCol w:w="354"/>
              <w:gridCol w:w="760"/>
              <w:gridCol w:w="938"/>
              <w:gridCol w:w="737"/>
              <w:gridCol w:w="396"/>
            </w:tblGrid>
            <w:tr>
              <w:tc>
                <w:tcPr>
                  <w:tcW w:type="dxa" w:w="3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序号</w:t>
                  </w:r>
                </w:p>
              </w:tc>
              <w:tc>
                <w:tcPr>
                  <w:tcW w:type="dxa" w:w="7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项目名称</w:t>
                  </w:r>
                </w:p>
              </w:tc>
              <w:tc>
                <w:tcPr>
                  <w:tcW w:type="dxa" w:w="9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规格</w:t>
                  </w:r>
                </w:p>
              </w:tc>
              <w:tc>
                <w:tcPr>
                  <w:tcW w:type="dxa" w:w="7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数量</w:t>
                  </w:r>
                </w:p>
              </w:tc>
              <w:tc>
                <w:tcPr>
                  <w:tcW w:type="dxa" w:w="3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单位</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1</w:t>
                  </w:r>
                </w:p>
              </w:tc>
              <w:tc>
                <w:tcPr>
                  <w:tcW w:type="dxa" w:w="283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幼儿园绿化灌溉水表改造</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1.1</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螺旋式水表</w:t>
                  </w:r>
                </w:p>
              </w:tc>
              <w:tc>
                <w:tcPr>
                  <w:tcW w:type="dxa" w:w="9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DN65</w:t>
                  </w:r>
                </w:p>
              </w:tc>
              <w:tc>
                <w:tcPr>
                  <w:tcW w:type="dxa" w:w="7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p>
              </w:tc>
              <w:tc>
                <w:tcPr>
                  <w:tcW w:type="dxa" w:w="3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1.2</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PE阀门</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DN65</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4</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1.3</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开挖土方</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3.375（1.5*1.5*1.5）</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m³</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1.4</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园林灌溉水表井</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直径</w:t>
                  </w:r>
                  <w:r>
                    <w:rPr>
                      <w:rFonts w:ascii="仿宋_GB2312" w:hAnsi="仿宋_GB2312" w:cs="仿宋_GB2312" w:eastAsia="仿宋_GB2312"/>
                      <w:sz w:val="21"/>
                      <w:color w:val="36363D"/>
                    </w:rPr>
                    <w:t>1米</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座</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1.5</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井盖</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600*600</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p>
              </w:tc>
              <w:tc>
                <w:tcPr>
                  <w:tcW w:type="dxa" w:w="283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岳旗寨小学地下室水表改造</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2.1</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螺旋式水表</w:t>
                  </w:r>
                </w:p>
              </w:tc>
              <w:tc>
                <w:tcPr>
                  <w:tcW w:type="dxa" w:w="9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DN80</w:t>
                  </w:r>
                </w:p>
              </w:tc>
              <w:tc>
                <w:tcPr>
                  <w:tcW w:type="dxa" w:w="7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2.2</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卡箍法兰片</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DN80</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r>
                    <w:rPr>
                      <w:rFonts w:ascii="仿宋_GB2312" w:hAnsi="仿宋_GB2312" w:cs="仿宋_GB2312" w:eastAsia="仿宋_GB2312"/>
                      <w:sz w:val="21"/>
                      <w:color w:val="36363D"/>
                    </w:rPr>
                    <w:t>3</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闸阀</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DN80</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r>
                    <w:rPr>
                      <w:rFonts w:ascii="仿宋_GB2312" w:hAnsi="仿宋_GB2312" w:cs="仿宋_GB2312" w:eastAsia="仿宋_GB2312"/>
                      <w:sz w:val="21"/>
                      <w:color w:val="36363D"/>
                    </w:rPr>
                    <w:t>4</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钢衬塑管</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DN80</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米</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r>
                    <w:rPr>
                      <w:rFonts w:ascii="仿宋_GB2312" w:hAnsi="仿宋_GB2312" w:cs="仿宋_GB2312" w:eastAsia="仿宋_GB2312"/>
                      <w:sz w:val="21"/>
                      <w:color w:val="36363D"/>
                    </w:rPr>
                    <w:t>5</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角钢</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∠50*5</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r>
                    <w:rPr>
                      <w:rFonts w:ascii="仿宋_GB2312" w:hAnsi="仿宋_GB2312" w:cs="仿宋_GB2312" w:eastAsia="仿宋_GB2312"/>
                      <w:sz w:val="21"/>
                      <w:color w:val="36363D"/>
                    </w:rPr>
                    <w:t>6</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卡箍</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DN80</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w:t>
                  </w:r>
                  <w:r>
                    <w:rPr>
                      <w:rFonts w:ascii="仿宋_GB2312" w:hAnsi="仿宋_GB2312" w:cs="仿宋_GB2312" w:eastAsia="仿宋_GB2312"/>
                      <w:sz w:val="21"/>
                      <w:color w:val="36363D"/>
                    </w:rPr>
                    <w:t>7</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钢衬塑卡箍弯头</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DN80</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2.8</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U型卡</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DN80</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2.9</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油漆</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2.10</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防腐漆</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2.11</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水表检修口</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400*300</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3</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拆除面积</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蜂窝铝扣板</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36（6</w:t>
                  </w:r>
                  <w:r>
                    <w:rPr>
                      <w:rFonts w:ascii="仿宋_GB2312" w:hAnsi="仿宋_GB2312" w:cs="仿宋_GB2312" w:eastAsia="仿宋_GB2312"/>
                      <w:sz w:val="24"/>
                      <w:color w:val="000000"/>
                    </w:rPr>
                    <w:t>m</w:t>
                  </w:r>
                  <w:r>
                    <w:rPr>
                      <w:rFonts w:ascii="仿宋_GB2312" w:hAnsi="仿宋_GB2312" w:cs="仿宋_GB2312" w:eastAsia="仿宋_GB2312"/>
                      <w:sz w:val="24"/>
                      <w:color w:val="000000"/>
                    </w:rPr>
                    <w:t>*6</w:t>
                  </w:r>
                  <w:r>
                    <w:rPr>
                      <w:rFonts w:ascii="仿宋_GB2312" w:hAnsi="仿宋_GB2312" w:cs="仿宋_GB2312" w:eastAsia="仿宋_GB2312"/>
                      <w:sz w:val="24"/>
                      <w:color w:val="000000"/>
                    </w:rPr>
                    <w:t>m</w:t>
                  </w:r>
                  <w:r>
                    <w:rPr>
                      <w:rFonts w:ascii="仿宋_GB2312" w:hAnsi="仿宋_GB2312" w:cs="仿宋_GB2312" w:eastAsia="仿宋_GB2312"/>
                      <w:sz w:val="24"/>
                      <w:color w:val="000000"/>
                    </w:rPr>
                    <w:t>）</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3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4</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拆除管道</w:t>
                  </w:r>
                </w:p>
              </w:tc>
              <w:tc>
                <w:tcPr>
                  <w:tcW w:type="dxa" w:w="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36363D"/>
                    </w:rPr>
                    <w:t>DN80</w:t>
                  </w:r>
                </w:p>
              </w:tc>
              <w:tc>
                <w:tcPr>
                  <w:tcW w:type="dxa" w:w="7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m</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提供经审计的2024年度财务报告（包括四表一注，即资产负债表、利润表、现金流量表、所有者权益变动表及其附注），且无反对意见（或无保留意见）；事业法人提供部门决算报告； /或在磋商日期前六个月内其基本开户银行出具的资信证明（附《基本存款账户信息》或《银行开户许可证》复印件）；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 （三）具有履行合同所必需的设备和专业技术能力。 提供声明文件。 （四）具有依法缴纳税收的良好记录。 提供缴费所属日期为磋商截止时间前12个月内任一月份（磋商文件响应文件提交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提供缴费所属日期为磋商截止时间前12个月内任一月份（磋商文件响应文件提交截止时间当月不计入）的缴费凭据或社保机关出具的缴费证明/在法规范围内不需提供的应出具书面说明和证明文件；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 （七）法定代表人身份证明或法人代表授权书。 （八）中小企业声明函（原件）（注：若供应商为残疾人福利性单位的，提供《残疾人福利性单位声明函》原件；若供应商为监狱企业的，提供由省级以上监狱管理局、戒毒管理局（含新疆生产建设兵团）出具的属于监狱企业的证明文件）。</w:t>
            </w:r>
          </w:p>
        </w:tc>
        <w:tc>
          <w:tcPr>
            <w:tcW w:type="dxa" w:w="1661"/>
          </w:tcPr>
          <w:p>
            <w:pPr>
              <w:pStyle w:val="null3"/>
            </w:pPr>
            <w:r>
              <w:rPr>
                <w:rFonts w:ascii="仿宋_GB2312" w:hAnsi="仿宋_GB2312" w:cs="仿宋_GB2312" w:eastAsia="仿宋_GB2312"/>
              </w:rPr>
              <w:t>中小企业声明函 残疾人福利性单位声明函 承诺书 供应商应提交的相关资格证明材料 法人身份证明及授权委托书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供应商和拟派项目负责人资质和专业要求。</w:t>
            </w:r>
          </w:p>
        </w:tc>
        <w:tc>
          <w:tcPr>
            <w:tcW w:type="dxa" w:w="3322"/>
          </w:tcPr>
          <w:p>
            <w:pPr>
              <w:pStyle w:val="null3"/>
            </w:pPr>
            <w:r>
              <w:rPr>
                <w:rFonts w:ascii="仿宋_GB2312" w:hAnsi="仿宋_GB2312" w:cs="仿宋_GB2312" w:eastAsia="仿宋_GB2312"/>
              </w:rPr>
              <w:t>1）供应商具备建筑装修装饰工程专业承包二级及以上资质，并具有有效的安全生产许可证。 2）拟派项目经理具备建筑工程专业二级及以上注册建造师执业资格及有效的安全生产考核合格证书（安全B证），注册在本单位且未担任其他在建工程项目的项目经理。</w:t>
            </w:r>
          </w:p>
        </w:tc>
        <w:tc>
          <w:tcPr>
            <w:tcW w:type="dxa" w:w="1661"/>
          </w:tcPr>
          <w:p>
            <w:pPr>
              <w:pStyle w:val="null3"/>
            </w:pPr>
            <w:r>
              <w:rPr>
                <w:rFonts w:ascii="仿宋_GB2312" w:hAnsi="仿宋_GB2312" w:cs="仿宋_GB2312" w:eastAsia="仿宋_GB2312"/>
              </w:rPr>
              <w:t>项目管理机构组成表 主要人员简历表 供应商基本情况表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磋商响应文件是否按照磋商文件要求的格式编写；磋商报价内容是否有重大缺漏项。</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标的清单 法人身份证明及授权委托书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磋商报价是否超过采购预算或最高限价；磋商报价有效期是否符合磋商文件的要求；响应文件内容是否符合国家法律法规，没有重大偏离；对磋商文件中规定的要求是否做出了实质性响应。</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针对本项目服务内容编制总体施工及服务方案，根据编制内容的可行性、完整性等综合评比； ①编制详细、完整、切实可行的得20分，每一项内容存在一处漏洞或缺陷扣0.5分，最多2分；②编制比较详细、较完整、可行性一般的得18分，每一项内容存在一处漏洞或缺陷扣0.5分，最多2分；③编制粗略、较完整、可行性一般的得16分，每一项内容存在一处漏洞或缺陷扣0.5分，最多2分；④编制粗略、不够完善、可行性较差的得16分，每一项内容存在一处漏洞或缺陷扣0.5分，最多2分；⑤未提供不得分。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进度计划及其保证措施、合理化建议</w:t>
            </w:r>
          </w:p>
        </w:tc>
        <w:tc>
          <w:tcPr>
            <w:tcW w:type="dxa" w:w="2492"/>
          </w:tcPr>
          <w:p>
            <w:pPr>
              <w:pStyle w:val="null3"/>
            </w:pPr>
            <w:r>
              <w:rPr>
                <w:rFonts w:ascii="仿宋_GB2312" w:hAnsi="仿宋_GB2312" w:cs="仿宋_GB2312" w:eastAsia="仿宋_GB2312"/>
              </w:rPr>
              <w:t>针对供应商的进度计划及其保证措施、针对本项目提出的合理化建议等综合评比： ①进度计划及其保证措施全面、针对本项目提出的建议合理得15分，每一项内容存在一处漏洞或缺陷扣0.5分，最多2分；②进度计划及其保证措施较全面、针对本项目提出的建议较合理得13分，每一项内容存在一处漏洞或缺陷扣0.5分，最多2分；③进度计划及其保证措施一般、针对本项目提出的建议一般得11分，每一项内容存在一处漏洞或缺陷扣0.5分，最多2分；④未提供不得分。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根据供应商提供的确保项目质量的技术组织措施等综合评比： ①确保质量体系完善、科学，保障措施有针对性，且合理可行得8分，每一项内容存在一处漏洞或缺陷扣0.5分，最多2分；②确保质量体系相对完善、科学，有保证措施的6分，每一项内容存在一处漏洞或缺陷扣0.5分，最多2分；③质量体系较完善、科学，保证措施较欠缺得4分，每一项内容存在一处漏洞或缺陷扣0.5分，最多2分；④未提供不得分。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根据供应商针对本项目提供具体的安全作业方案及安全配套措施等综合评比： ①安全作业方案及安全配套措施完善、合理可行、针对性强得8分，每一项内容存在一处漏洞或缺陷扣0.5分，最多2分；②安全作业方案及安全配套措施基本合理可行，针对性欠缺得6分，每一项内容存在一处漏洞或缺陷扣0.5分，最多2分；③安全作业方案及安全配套措施简单，可行性及针对性欠缺得4分，每一项内容存在一处漏洞或缺陷扣0.5分，最多2分；④未提供不得分。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组成员结构合理、分工明确，并保证项目组成员具有相应资格或职称证书，持证上岗。项目组人员必须包含项目负责人、技术负责人、技术管理人员、安全专职人员、质检人员、资料员；项目管理机构人员满足以上基本要求得5分；每增加1人加1分，最高加2分，未提供或缺少基本要求的人员不得分。 注：须提供相应资格证书、职称证、岗位证、身份证等相关证书复印件或扫描件。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文明施工、环境保护、施工现场扬尘污染防治措施（含治污减霾）</w:t>
            </w:r>
          </w:p>
        </w:tc>
        <w:tc>
          <w:tcPr>
            <w:tcW w:type="dxa" w:w="2492"/>
          </w:tcPr>
          <w:p>
            <w:pPr>
              <w:pStyle w:val="null3"/>
            </w:pPr>
            <w:r>
              <w:rPr>
                <w:rFonts w:ascii="仿宋_GB2312" w:hAnsi="仿宋_GB2312" w:cs="仿宋_GB2312" w:eastAsia="仿宋_GB2312"/>
              </w:rPr>
              <w:t>对本项目进行文明施工、环境保护、施工现场扬尘污染防治措施（含治污减霾）等方面是否符合规范要求等综合评比： ①编制思路清晰全面，可操性、针对性强的得8分，每一项内容存在一处漏洞或缺陷扣0.5分，最多2分；②编制思路基本清晰者得6分，每一项内容存在一处漏洞或缺陷扣0.5分，最多2分；③内容基本齐全但研究深度弱、针对性差者得4分，每一项内容存在一处漏洞或缺陷扣0.5分，最多2分；④未提供不得分。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根据供应商提供的施工机械、设备和材料投入计划等综合评比： ①主要机械配置齐全，设备型号、参数及用途清晰，针对性强，材料投入合理得8分，每一项内容存在一处漏洞或缺陷扣0.5分，最多2分；②主要机械配置紧张，设备型号、参数及用途基本清晰，缺乏针对性，材料投入基本合理得6分，每一项内容存在一处漏洞或缺陷扣0.5分，最多2分；③主要机械配置紧张，设备型号、参数及用途不清晰，材料投入有欠缺得4分，每一项内容存在一处漏洞或缺陷扣0.5分，最多2分；④未提供不得分。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针对本项目的临时性、阶段性工作及突发事件的应急处理方案等综合评比： ①应急处理方案全面、合理、规范、可实施性强得8分，每一项内容存在一处漏洞或缺陷扣0.5分，最多2分；②应急处理方案合理，具有一定实施性得6分，每一项内容存在一处漏洞或缺陷扣0.5分，最多2分；③应急处理方案基本合理，可实施性欠缺得4分，每一项内容存在一处漏洞或缺陷扣0.5分，最多2分；④未提供不得分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2021 年1月1日至响应文件递交截止时间，供应商承接过类似项目业绩，每有1项得1分，本项得3分。 注：以响应文件中所附业绩合同或中标（成交）通知书复印件加盖公章为准，否则视为无效业绩。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2.其他供应商的价格分统一按照（评审基准价/评审价×15）的公式计算价格得分。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详见附件：法人身份证明及授权委托书</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详见附件：供应商基本情况表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