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版本号：SXLX25-01-075Z(H)(二次)20250924001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健康小屋设施设备采购项目(二次)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SXLX25-01-075Z(H)(二次)</w:t>
      </w:r>
      <w:r>
        <w:br/>
      </w:r>
      <w:r>
        <w:br/>
      </w:r>
      <w:r>
        <w:br/>
      </w:r>
    </w:p>
    <w:p>
      <w:pPr>
        <w:pStyle w:val="null3"/>
        <w:jc w:val="center"/>
        <w:outlineLvl w:val="2"/>
      </w:pPr>
      <w:r>
        <w:rPr>
          <w:rFonts w:ascii="仿宋_GB2312" w:hAnsi="仿宋_GB2312" w:cs="仿宋_GB2312" w:eastAsia="仿宋_GB2312"/>
          <w:sz w:val="28"/>
          <w:b/>
        </w:rPr>
        <w:t>西安市雁塔区卫生健康局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西安市雁塔区卫生健康局</w:t>
      </w:r>
      <w:r>
        <w:rPr>
          <w:rFonts w:ascii="仿宋_GB2312" w:hAnsi="仿宋_GB2312" w:cs="仿宋_GB2312" w:eastAsia="仿宋_GB2312"/>
        </w:rPr>
        <w:t>委托，拟对</w:t>
      </w:r>
      <w:r>
        <w:rPr>
          <w:rFonts w:ascii="仿宋_GB2312" w:hAnsi="仿宋_GB2312" w:cs="仿宋_GB2312" w:eastAsia="仿宋_GB2312"/>
        </w:rPr>
        <w:t>健康小屋设施设备采购项目(二次)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SXLX25-01-075Z(H)(二次)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健康小屋设施设备采购项目(二次)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雁塔区8个公办社区卫生服务中心和电子城二〇五所社区卫生服务站共计9个基层医疗机构设立健康小屋，采购包含：信息化产品及系统对接设备（信息化产品、基础资源服务器、数据安全设备、信息化系统对接开发服务等）设施设备一批，通过自助式健康检测和信息化管理，促进慢性病早期筛查与干预，加强居民健康管理能力，促进医防融合，为居民提供便捷的健康服务，要求所有货物（产品）质量合格、安装调试到位、验收合格达到交钥匙条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佟玉琢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029-85227101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采购包1：1,004,100.00元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65寸健康宣教智能电视、健康小屋工作站计算机、平板电脑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65寸健康宣教智能电视、健康小屋工作站计算机、平板电脑</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西安市雁塔区卫生健康局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8个公办社区卫生服务中心和电子城二〇五所社区卫生服务站共计9个基层医疗机构设立健康小屋，采购包含：信息化产品及系统对接设备（信息化产品、基础资源服务器、数据安全设备、信息化系统对接开发服务等）设施设备一批，通过自助式健康检测和信息化管理，促进慢性病早期筛查与干预，加强居民健康管理能力，促进医防融合，为居民提供便捷的健康服务，要求所有货物（产品）质量合格、安装调试到位、验收合格达到交钥匙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1,004,100.00</w:t>
      </w:r>
    </w:p>
    <w:p>
      <w:pPr>
        <w:pStyle w:val="null3"/>
      </w:pPr>
      <w:r>
        <w:rPr>
          <w:rFonts w:ascii="仿宋_GB2312" w:hAnsi="仿宋_GB2312" w:cs="仿宋_GB2312" w:eastAsia="仿宋_GB2312"/>
        </w:rPr>
        <w:t>采购包最高限价（元）: 1,004,100.00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信息化产品及系统对接设备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1,004,100.00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标的名称：信息化产品及系统对接设备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采购需求清单：</w:t>
            </w:r>
            <w:r>
              <w:rPr>
                <w:rFonts w:ascii="仿宋_GB2312" w:hAnsi="仿宋_GB2312" w:cs="仿宋_GB2312" w:eastAsia="仿宋_GB2312"/>
                <w:sz w:val="20"/>
                <w:b/>
                <w:color w:val="000000"/>
              </w:rPr>
              <w:t>详见附表</w:t>
            </w:r>
            <w:r>
              <w:rPr>
                <w:rFonts w:ascii="仿宋_GB2312" w:hAnsi="仿宋_GB2312" w:cs="仿宋_GB2312" w:eastAsia="仿宋_GB2312"/>
                <w:sz w:val="20"/>
                <w:b/>
                <w:color w:val="000000"/>
              </w:rPr>
              <w:t>“信息化产品及系统对接设备采购需求清单”。</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应按要求提供所投的设备（产品）的技术资料（除特别说明外，其他不限于原厂印刷的产品说明书、质量证书、检测报告、合格证、官网截图等）；</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应保证</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w:t>
            </w:r>
            <w:r>
              <w:rPr>
                <w:rFonts w:ascii="仿宋_GB2312" w:hAnsi="仿宋_GB2312" w:cs="仿宋_GB2312" w:eastAsia="仿宋_GB2312"/>
                <w:sz w:val="20"/>
                <w:color w:val="000000"/>
              </w:rPr>
              <w:t>第三方资料内容真实、完整、准确</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有</w:t>
            </w:r>
            <w:r>
              <w:rPr>
                <w:rFonts w:ascii="仿宋_GB2312" w:hAnsi="仿宋_GB2312" w:cs="仿宋_GB2312" w:eastAsia="仿宋_GB2312"/>
                <w:sz w:val="20"/>
                <w:color w:val="000000"/>
              </w:rPr>
              <w:t>相关第三方书面声明、相关检测报告等资料虚假，监管部门有权根据调查情形认定其是否属于提供虚假材料谋取中标（成交），并严肃处理</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1.2实施要求：</w:t>
            </w:r>
            <w:r>
              <w:rPr>
                <w:rFonts w:ascii="仿宋_GB2312" w:hAnsi="仿宋_GB2312" w:cs="仿宋_GB2312" w:eastAsia="仿宋_GB2312"/>
                <w:sz w:val="20"/>
                <w:color w:val="000000"/>
              </w:rPr>
              <w:t>(1) 需成立项目小组，项目小组成立及项目人员分工细化到每一项工作内容，要求从时间维度、工作内容维度等进行详细的说明。</w:t>
            </w:r>
          </w:p>
          <w:p>
            <w:pPr>
              <w:pStyle w:val="null3"/>
              <w:ind w:firstLine="400"/>
              <w:jc w:val="left"/>
            </w:pPr>
            <w:r>
              <w:rPr>
                <w:rFonts w:ascii="仿宋_GB2312" w:hAnsi="仿宋_GB2312" w:cs="仿宋_GB2312" w:eastAsia="仿宋_GB2312"/>
                <w:sz w:val="20"/>
                <w:color w:val="000000"/>
              </w:rPr>
              <w:t>(2) 项目实施计划：需提供明确项目实施计划,建立健全的制度保障，保障项目按照规定时间完成项目验收的措施和办法。</w:t>
            </w:r>
          </w:p>
          <w:p>
            <w:pPr>
              <w:pStyle w:val="null3"/>
              <w:ind w:firstLine="400"/>
              <w:jc w:val="left"/>
            </w:pPr>
            <w:r>
              <w:rPr>
                <w:rFonts w:ascii="仿宋_GB2312" w:hAnsi="仿宋_GB2312" w:cs="仿宋_GB2312" w:eastAsia="仿宋_GB2312"/>
                <w:sz w:val="20"/>
                <w:color w:val="000000"/>
              </w:rPr>
              <w:t>(3) 项目实施措施：需提供保证项目实施完成后应用效果的具体的方案和措施。</w:t>
            </w:r>
          </w:p>
          <w:p>
            <w:pPr>
              <w:pStyle w:val="null3"/>
              <w:ind w:firstLine="400"/>
              <w:jc w:val="left"/>
            </w:pPr>
            <w:r>
              <w:rPr>
                <w:rFonts w:ascii="仿宋_GB2312" w:hAnsi="仿宋_GB2312" w:cs="仿宋_GB2312" w:eastAsia="仿宋_GB2312"/>
                <w:sz w:val="20"/>
                <w:color w:val="000000"/>
              </w:rPr>
              <w:t>(4) 项目实施内容：要求提供包括项目实施内容、实施时间、完成时间、实现目标、人员配备、实施结果、阶段成果测试等内容。</w:t>
            </w:r>
          </w:p>
          <w:p>
            <w:pPr>
              <w:pStyle w:val="null3"/>
              <w:ind w:firstLine="400"/>
              <w:jc w:val="left"/>
            </w:pPr>
            <w:r>
              <w:rPr>
                <w:rFonts w:ascii="仿宋_GB2312" w:hAnsi="仿宋_GB2312" w:cs="仿宋_GB2312" w:eastAsia="仿宋_GB2312"/>
                <w:sz w:val="20"/>
                <w:color w:val="000000"/>
              </w:rPr>
              <w:t>(5) 项目实施过程中的风险预测：要求承建方有切实可行的风险预测机制。</w:t>
            </w:r>
          </w:p>
          <w:p>
            <w:pPr>
              <w:pStyle w:val="null3"/>
              <w:ind w:firstLine="402"/>
              <w:jc w:val="both"/>
            </w:pPr>
            <w:r>
              <w:rPr>
                <w:rFonts w:ascii="仿宋_GB2312" w:hAnsi="仿宋_GB2312" w:cs="仿宋_GB2312" w:eastAsia="仿宋_GB2312"/>
                <w:sz w:val="20"/>
                <w:b/>
                <w:color w:val="000000"/>
              </w:rPr>
              <w:t>1.3</w:t>
            </w:r>
            <w:r>
              <w:rPr>
                <w:rFonts w:ascii="仿宋_GB2312" w:hAnsi="仿宋_GB2312" w:cs="仿宋_GB2312" w:eastAsia="仿宋_GB2312"/>
                <w:sz w:val="20"/>
                <w:b/>
                <w:color w:val="000000"/>
              </w:rPr>
              <w:t>数据连通性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须具备</w:t>
            </w:r>
            <w:r>
              <w:rPr>
                <w:rFonts w:ascii="仿宋_GB2312" w:hAnsi="仿宋_GB2312" w:cs="仿宋_GB2312" w:eastAsia="仿宋_GB2312"/>
                <w:sz w:val="20"/>
                <w:color w:val="000000"/>
              </w:rPr>
              <w:t>数据输出功能（</w:t>
            </w:r>
            <w:r>
              <w:rPr>
                <w:rFonts w:ascii="仿宋_GB2312" w:hAnsi="仿宋_GB2312" w:cs="仿宋_GB2312" w:eastAsia="仿宋_GB2312"/>
                <w:sz w:val="20"/>
                <w:color w:val="000000"/>
              </w:rPr>
              <w:t>USB、蓝牙、WiFi等），能与机构内健康管理信息系统（HIS）、公共卫生系统或区域卫生信息平台对接，实现数据自动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半自动上传至居民电子健康档案。</w:t>
            </w:r>
          </w:p>
          <w:p>
            <w:pPr>
              <w:pStyle w:val="null3"/>
              <w:ind w:firstLine="402"/>
              <w:jc w:val="both"/>
            </w:pPr>
            <w:r>
              <w:rPr>
                <w:rFonts w:ascii="仿宋_GB2312" w:hAnsi="仿宋_GB2312" w:cs="仿宋_GB2312" w:eastAsia="仿宋_GB2312"/>
                <w:sz w:val="20"/>
                <w:b/>
                <w:color w:val="000000"/>
              </w:rPr>
              <w:t>1.4</w:t>
            </w:r>
            <w:r>
              <w:rPr>
                <w:rFonts w:ascii="仿宋_GB2312" w:hAnsi="仿宋_GB2312" w:cs="仿宋_GB2312" w:eastAsia="仿宋_GB2312"/>
                <w:sz w:val="20"/>
                <w:b/>
                <w:color w:val="000000"/>
              </w:rPr>
              <w:t>安全性与合规性</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采购符合国家医疗器械相关法规（如需要注册证</w:t>
            </w:r>
            <w:r>
              <w:rPr>
                <w:rFonts w:ascii="仿宋_GB2312" w:hAnsi="仿宋_GB2312" w:cs="仿宋_GB2312" w:eastAsia="仿宋_GB2312"/>
                <w:sz w:val="20"/>
                <w:color w:val="000000"/>
              </w:rPr>
              <w:t>/备案凭证）、计量认证（如适用）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可扩展性：</w:t>
            </w:r>
            <w:r>
              <w:rPr>
                <w:rFonts w:ascii="仿宋_GB2312" w:hAnsi="仿宋_GB2312" w:cs="仿宋_GB2312" w:eastAsia="仿宋_GB2312"/>
                <w:sz w:val="20"/>
                <w:color w:val="000000"/>
              </w:rPr>
              <w:t>需</w:t>
            </w:r>
            <w:r>
              <w:rPr>
                <w:rFonts w:ascii="仿宋_GB2312" w:hAnsi="仿宋_GB2312" w:cs="仿宋_GB2312" w:eastAsia="仿宋_GB2312"/>
                <w:sz w:val="20"/>
                <w:color w:val="000000"/>
              </w:rPr>
              <w:t>为未来功能升级或设备增加预留空间和接口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中标后免费共享所供设备数据与接口</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1.6整体建设</w:t>
            </w:r>
            <w:r>
              <w:rPr>
                <w:rFonts w:ascii="仿宋_GB2312" w:hAnsi="仿宋_GB2312" w:cs="仿宋_GB2312" w:eastAsia="仿宋_GB2312"/>
                <w:sz w:val="20"/>
                <w:b/>
                <w:color w:val="000000"/>
              </w:rPr>
              <w:t>目标</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居民健康自我管理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在社区医院医护人员的协助下，</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快速、易操作的健康检测设备，</w:t>
            </w:r>
            <w:r>
              <w:rPr>
                <w:rFonts w:ascii="仿宋_GB2312" w:hAnsi="仿宋_GB2312" w:cs="仿宋_GB2312" w:eastAsia="仿宋_GB2312"/>
                <w:sz w:val="20"/>
                <w:color w:val="000000"/>
              </w:rPr>
              <w:t>在</w:t>
            </w:r>
            <w:r>
              <w:rPr>
                <w:rFonts w:ascii="仿宋_GB2312" w:hAnsi="仿宋_GB2312" w:cs="仿宋_GB2312" w:eastAsia="仿宋_GB2312"/>
                <w:sz w:val="20"/>
                <w:color w:val="000000"/>
              </w:rPr>
              <w:t>自身的基础健康指标（如血压、血糖、</w:t>
            </w:r>
            <w:r>
              <w:rPr>
                <w:rFonts w:ascii="仿宋_GB2312" w:hAnsi="仿宋_GB2312" w:cs="仿宋_GB2312" w:eastAsia="仿宋_GB2312"/>
                <w:sz w:val="20"/>
                <w:color w:val="000000"/>
              </w:rPr>
              <w:t>BMI等）</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通过数据记录和趋势分析，培养居民定期监测习惯，提高健康素养。</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慢性病早期筛查与干预</w:t>
            </w:r>
            <w:r>
              <w:rPr>
                <w:rFonts w:ascii="仿宋_GB2312" w:hAnsi="仿宋_GB2312" w:cs="仿宋_GB2312" w:eastAsia="仿宋_GB2312"/>
                <w:sz w:val="20"/>
                <w:color w:val="000000"/>
              </w:rPr>
              <w:t>；</w:t>
            </w:r>
            <w:r>
              <w:rPr>
                <w:rFonts w:ascii="仿宋_GB2312" w:hAnsi="仿宋_GB2312" w:cs="仿宋_GB2312" w:eastAsia="仿宋_GB2312"/>
                <w:sz w:val="20"/>
                <w:color w:val="000000"/>
              </w:rPr>
              <w:t>针对高血压、糖尿病等慢性病高危人群，实现早期发现和分级管理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结合家庭医生签约服务，对异常指标居民进行随访和干预，降低并发症风险。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优化基层医疗服务效率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分流老年人、慢性病等重点人群健康检测需求，提高工作效率，让医护人员更专注于诊疗和重点人群管理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通过健康数据积累，为公共卫生决策提供依据。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促进医防融合</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“检测－预警－干预－随访”闭环，推动基层医疗机构从“被动治疗”转向“主动健康管理”。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加强健康体检的信息化建设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通过健康小屋物联网建设，推动健康检测数据与</w:t>
            </w:r>
            <w:r>
              <w:rPr>
                <w:rFonts w:ascii="仿宋_GB2312" w:hAnsi="仿宋_GB2312" w:cs="仿宋_GB2312" w:eastAsia="仿宋_GB2312"/>
                <w:sz w:val="20"/>
                <w:color w:val="000000"/>
              </w:rPr>
              <w:t>“家庭医生签约服务平台”对接，实现居民健康档案动态更新、老年人体检，儿童入园体检、慢性病体检等功能，完成区域卫生健康数据互联互通、对接陕西省基本公卫管理系统、雁塔区区域检验平台，实现居民体检数据自动上传更新等。</w:t>
            </w:r>
          </w:p>
          <w:p>
            <w:pPr>
              <w:pStyle w:val="null3"/>
              <w:ind w:firstLine="402"/>
              <w:jc w:val="left"/>
            </w:pPr>
            <w:r>
              <w:rPr>
                <w:rFonts w:ascii="仿宋_GB2312" w:hAnsi="仿宋_GB2312" w:cs="仿宋_GB2312" w:eastAsia="仿宋_GB2312"/>
                <w:sz w:val="20"/>
                <w:b/>
                <w:color w:val="000000"/>
              </w:rPr>
              <w:t>1.7</w:t>
            </w:r>
            <w:r>
              <w:rPr>
                <w:rFonts w:ascii="仿宋_GB2312" w:hAnsi="仿宋_GB2312" w:cs="仿宋_GB2312" w:eastAsia="仿宋_GB2312"/>
                <w:sz w:val="20"/>
                <w:b/>
                <w:color w:val="000000"/>
              </w:rPr>
              <w:t>安全要求：</w:t>
            </w:r>
            <w:r>
              <w:rPr>
                <w:rFonts w:ascii="仿宋_GB2312" w:hAnsi="仿宋_GB2312" w:cs="仿宋_GB2312" w:eastAsia="仿宋_GB2312"/>
                <w:sz w:val="20"/>
                <w:color w:val="000000"/>
              </w:rPr>
              <w:t>认真贯彻执行国家及省、市有关安全文明生产的法律法规规章和强制性标准、安全操作规程等，所有设备</w:t>
            </w:r>
            <w:r>
              <w:rPr>
                <w:rFonts w:ascii="仿宋_GB2312" w:hAnsi="仿宋_GB2312" w:cs="仿宋_GB2312" w:eastAsia="仿宋_GB2312"/>
                <w:sz w:val="20"/>
                <w:color w:val="000000"/>
              </w:rPr>
              <w:t>(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1.8</w:t>
            </w:r>
            <w:r>
              <w:rPr>
                <w:rFonts w:ascii="仿宋_GB2312" w:hAnsi="仿宋_GB2312" w:cs="仿宋_GB2312" w:eastAsia="仿宋_GB2312"/>
                <w:sz w:val="20"/>
                <w:b/>
                <w:color w:val="000000"/>
              </w:rPr>
              <w:t>质量标准及要求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所有</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符合国家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省、市</w:t>
            </w:r>
            <w:r>
              <w:rPr>
                <w:rFonts w:ascii="仿宋_GB2312" w:hAnsi="仿宋_GB2312" w:cs="仿宋_GB2312" w:eastAsia="仿宋_GB2312"/>
                <w:sz w:val="20"/>
                <w:color w:val="000000"/>
              </w:rPr>
              <w:t>（行业）强制性标准及采购人要求的合格标准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）货物（产品）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执行的标准、规范：必须执行国家、行业强制性标准；没有国家、行业强制性标准的按</w:t>
            </w:r>
            <w:r>
              <w:rPr>
                <w:rFonts w:ascii="仿宋_GB2312" w:hAnsi="仿宋_GB2312" w:cs="仿宋_GB2312" w:eastAsia="仿宋_GB2312"/>
                <w:sz w:val="20"/>
                <w:color w:val="00000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2"/>
              <w:jc w:val="left"/>
            </w:pPr>
            <w:r>
              <w:rPr>
                <w:rFonts w:ascii="仿宋_GB2312" w:hAnsi="仿宋_GB2312" w:cs="仿宋_GB2312" w:eastAsia="仿宋_GB2312"/>
                <w:sz w:val="20"/>
                <w:b/>
                <w:color w:val="000000"/>
              </w:rPr>
              <w:t>1.9</w:t>
            </w:r>
            <w:r>
              <w:rPr>
                <w:rFonts w:ascii="仿宋_GB2312" w:hAnsi="仿宋_GB2312" w:cs="仿宋_GB2312" w:eastAsia="仿宋_GB2312"/>
                <w:sz w:val="20"/>
                <w:color w:val="000000"/>
              </w:rPr>
              <w:t>为保证货物（软件和硬件）质</w:t>
            </w:r>
            <w:r>
              <w:rPr>
                <w:rFonts w:ascii="仿宋_GB2312" w:hAnsi="仿宋_GB2312" w:cs="仿宋_GB2312" w:eastAsia="仿宋_GB2312"/>
                <w:sz w:val="20"/>
                <w:color w:val="000000"/>
              </w:rPr>
              <w:t>量和</w:t>
            </w:r>
            <w:r>
              <w:rPr>
                <w:rFonts w:ascii="仿宋_GB2312" w:hAnsi="仿宋_GB2312" w:cs="仿宋_GB2312" w:eastAsia="仿宋_GB2312"/>
                <w:sz w:val="20"/>
                <w:color w:val="000000"/>
              </w:rPr>
              <w:t>功能的严谨性，中标（成交）后</w:t>
            </w:r>
            <w:r>
              <w:rPr>
                <w:rFonts w:ascii="仿宋_GB2312" w:hAnsi="仿宋_GB2312" w:cs="仿宋_GB2312" w:eastAsia="仿宋_GB2312"/>
                <w:sz w:val="20"/>
                <w:color w:val="000000"/>
              </w:rPr>
              <w:t>采购人有权</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对其</w:t>
            </w:r>
            <w:r>
              <w:rPr>
                <w:rFonts w:ascii="仿宋_GB2312" w:hAnsi="仿宋_GB2312" w:cs="仿宋_GB2312" w:eastAsia="仿宋_GB2312"/>
                <w:sz w:val="20"/>
                <w:color w:val="000000"/>
              </w:rPr>
              <w:t>所提</w:t>
            </w:r>
            <w:r>
              <w:rPr>
                <w:rFonts w:ascii="仿宋_GB2312" w:hAnsi="仿宋_GB2312" w:cs="仿宋_GB2312" w:eastAsia="仿宋_GB2312"/>
                <w:sz w:val="20"/>
                <w:color w:val="000000"/>
              </w:rPr>
              <w:t>供的设备（产品）（</w:t>
            </w:r>
            <w:r>
              <w:rPr>
                <w:rFonts w:ascii="仿宋_GB2312" w:hAnsi="仿宋_GB2312" w:cs="仿宋_GB2312" w:eastAsia="仿宋_GB2312"/>
                <w:sz w:val="20"/>
                <w:color w:val="000000"/>
              </w:rPr>
              <w:t>包含</w:t>
            </w:r>
            <w:r>
              <w:rPr>
                <w:rFonts w:ascii="仿宋_GB2312" w:hAnsi="仿宋_GB2312" w:cs="仿宋_GB2312" w:eastAsia="仿宋_GB2312"/>
                <w:sz w:val="20"/>
                <w:color w:val="000000"/>
              </w:rPr>
              <w:t>软件和硬件）的功能进行逐一演示，如有功能</w:t>
            </w:r>
            <w:r>
              <w:rPr>
                <w:rFonts w:ascii="仿宋_GB2312" w:hAnsi="仿宋_GB2312" w:cs="仿宋_GB2312" w:eastAsia="仿宋_GB2312"/>
                <w:sz w:val="20"/>
                <w:color w:val="000000"/>
              </w:rPr>
              <w:t>与实际不相符，一律</w:t>
            </w:r>
            <w:r>
              <w:rPr>
                <w:rFonts w:ascii="仿宋_GB2312" w:hAnsi="仿宋_GB2312" w:cs="仿宋_GB2312" w:eastAsia="仿宋_GB2312"/>
                <w:sz w:val="20"/>
                <w:color w:val="000000"/>
              </w:rPr>
              <w:t>按虚假应标处理，由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w:t>
            </w:r>
            <w:r>
              <w:rPr>
                <w:rFonts w:ascii="仿宋_GB2312" w:hAnsi="仿宋_GB2312" w:cs="仿宋_GB2312" w:eastAsia="仿宋_GB2312"/>
                <w:sz w:val="20"/>
                <w:color w:val="000000"/>
              </w:rPr>
              <w:t>因此</w:t>
            </w:r>
            <w:r>
              <w:rPr>
                <w:rFonts w:ascii="仿宋_GB2312" w:hAnsi="仿宋_GB2312" w:cs="仿宋_GB2312" w:eastAsia="仿宋_GB2312"/>
                <w:sz w:val="20"/>
                <w:color w:val="000000"/>
              </w:rPr>
              <w:t>产生的一切后果和责任</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1.10</w:t>
            </w:r>
            <w:r>
              <w:rPr>
                <w:rFonts w:ascii="仿宋_GB2312" w:hAnsi="仿宋_GB2312" w:cs="仿宋_GB2312" w:eastAsia="仿宋_GB2312"/>
                <w:sz w:val="20"/>
                <w:b/>
                <w:color w:val="000000"/>
              </w:rPr>
              <w:t>产品</w:t>
            </w:r>
            <w:r>
              <w:rPr>
                <w:rFonts w:ascii="仿宋_GB2312" w:hAnsi="仿宋_GB2312" w:cs="仿宋_GB2312" w:eastAsia="仿宋_GB2312"/>
                <w:sz w:val="20"/>
                <w:b/>
                <w:color w:val="000000"/>
              </w:rPr>
              <w:t>“三包”要求：</w:t>
            </w:r>
            <w:r>
              <w:rPr>
                <w:rFonts w:ascii="仿宋_GB2312" w:hAnsi="仿宋_GB2312" w:cs="仿宋_GB2312" w:eastAsia="仿宋_GB2312"/>
                <w:sz w:val="20"/>
                <w:color w:val="000000"/>
              </w:rPr>
              <w:t>货物（产品）属于国家规定的</w:t>
            </w:r>
            <w:r>
              <w:rPr>
                <w:rFonts w:ascii="仿宋_GB2312" w:hAnsi="仿宋_GB2312" w:cs="仿宋_GB2312" w:eastAsia="仿宋_GB2312"/>
                <w:sz w:val="20"/>
                <w:color w:val="000000"/>
              </w:rPr>
              <w:t>“三包产品”，产品制造商、经销代理商应遵守“三包”的规定，在产品发生质量问题时，及时对所提供产品实行“包退、包换、保修”服务。</w:t>
            </w:r>
          </w:p>
          <w:p>
            <w:pPr>
              <w:pStyle w:val="null3"/>
              <w:ind w:firstLine="402"/>
              <w:jc w:val="left"/>
            </w:pPr>
            <w:r>
              <w:rPr>
                <w:rFonts w:ascii="仿宋_GB2312" w:hAnsi="仿宋_GB2312" w:cs="仿宋_GB2312" w:eastAsia="仿宋_GB2312"/>
                <w:sz w:val="20"/>
                <w:b/>
                <w:color w:val="000000"/>
              </w:rPr>
              <w:t>1.11</w:t>
            </w:r>
            <w:r>
              <w:rPr>
                <w:rFonts w:ascii="仿宋_GB2312" w:hAnsi="仿宋_GB2312" w:cs="仿宋_GB2312" w:eastAsia="仿宋_GB2312"/>
                <w:sz w:val="20"/>
                <w:b/>
                <w:color w:val="000000"/>
              </w:rPr>
              <w:t>售后服务要求：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须指派专人负责与采购人联系售后服务事宜；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负责货物的现场安装、调试、测试和启动等；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货物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还需就货物的功能对使用方人员进行相应的技术培训，培训地点为货物安装现场或由采购人安排；</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售后</w:t>
            </w:r>
            <w:r>
              <w:rPr>
                <w:rFonts w:ascii="仿宋_GB2312" w:hAnsi="仿宋_GB2312" w:cs="仿宋_GB2312" w:eastAsia="仿宋_GB2312"/>
                <w:sz w:val="20"/>
                <w:color w:val="000000"/>
              </w:rPr>
              <w:t>服务内容须具有可操作性</w:t>
            </w:r>
            <w:r>
              <w:rPr>
                <w:rFonts w:ascii="仿宋_GB2312" w:hAnsi="仿宋_GB2312" w:cs="仿宋_GB2312" w:eastAsia="仿宋_GB2312"/>
                <w:sz w:val="20"/>
                <w:color w:val="000000"/>
              </w:rPr>
              <w:t>,能够清晰体现维护详细内容，要求进行分类描述，如基本服务内容、应用提升服务内容、运维服务内容、服务对象、服务项目等。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）质保期自采购人在质量验收单（终验）上签字之日起计算，质保费用计入总价；</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负责对其提供的货物整体进行维修和系统维护，质保期内应无偿负责现场技术巡检</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维修和替换等工作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若遇到</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重大活动需无条件提供现场技术支持服务且不再收取任何费用，但不可抗力（如火灾、雷击等）造成的故障除外；超出质保期只收取维修所需原设备、材料成本费用</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负责对其所提供</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设备、材料等备品配件供应</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提供长期维修，并提供技术咨询等服务，所有维修记录交</w:t>
            </w:r>
            <w:r>
              <w:rPr>
                <w:rFonts w:ascii="仿宋_GB2312" w:hAnsi="仿宋_GB2312" w:cs="仿宋_GB2312" w:eastAsia="仿宋_GB2312"/>
                <w:sz w:val="20"/>
                <w:color w:val="000000"/>
              </w:rPr>
              <w:t>由采购人</w:t>
            </w:r>
            <w:r>
              <w:rPr>
                <w:rFonts w:ascii="仿宋_GB2312" w:hAnsi="仿宋_GB2312" w:cs="仿宋_GB2312" w:eastAsia="仿宋_GB2312"/>
                <w:sz w:val="20"/>
                <w:color w:val="000000"/>
              </w:rPr>
              <w:t>的现场技术人员一份，并详细说明问题所在、解决办法及注意事项</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）货物故障报修的</w:t>
            </w:r>
            <w:r>
              <w:rPr>
                <w:rFonts w:ascii="仿宋_GB2312" w:hAnsi="仿宋_GB2312" w:cs="仿宋_GB2312" w:eastAsia="仿宋_GB2312"/>
                <w:sz w:val="20"/>
                <w:color w:val="000000"/>
              </w:rPr>
              <w:t>投标</w:t>
            </w:r>
            <w:r>
              <w:rPr>
                <w:rFonts w:ascii="仿宋_GB2312" w:hAnsi="仿宋_GB2312" w:cs="仿宋_GB2312" w:eastAsia="仿宋_GB2312"/>
                <w:sz w:val="20"/>
                <w:color w:val="000000"/>
              </w:rPr>
              <w:t>时间为：每天至少</w:t>
            </w:r>
            <w:r>
              <w:rPr>
                <w:rFonts w:ascii="仿宋_GB2312" w:hAnsi="仿宋_GB2312" w:cs="仿宋_GB2312" w:eastAsia="仿宋_GB2312"/>
                <w:sz w:val="20"/>
                <w:color w:val="000000"/>
              </w:rPr>
              <w:t>8小时，在线值班人员服务时间7*24小时；每周六周日能提供值班人员。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）所有货物服务方式均为</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上门服务，即由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派人到货物使用现场维修，由此产生的一切费用均由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承担，对系统进行定期的检修、保养工作，并与用户进行沟通，定期开展技术交流活动，预防故障发生，保证系统的正常运行；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）在保修期内更换</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部件，其保修期应相应延长</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）质保期结束后的维修、维护等由双方协商再定。</w:t>
            </w:r>
          </w:p>
          <w:p>
            <w:pPr>
              <w:pStyle w:val="null3"/>
              <w:ind w:firstLine="402"/>
              <w:jc w:val="both"/>
            </w:pPr>
            <w:r>
              <w:rPr>
                <w:rFonts w:ascii="仿宋_GB2312" w:hAnsi="仿宋_GB2312" w:cs="仿宋_GB2312" w:eastAsia="仿宋_GB2312"/>
                <w:sz w:val="20"/>
                <w:b/>
                <w:color w:val="000000"/>
              </w:rPr>
              <w:t>1.12其他</w:t>
            </w: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和说明</w:t>
            </w:r>
            <w:r>
              <w:rPr>
                <w:rFonts w:ascii="仿宋_GB2312" w:hAnsi="仿宋_GB2312" w:cs="仿宋_GB2312" w:eastAsia="仿宋_GB2312"/>
                <w:sz w:val="20"/>
                <w:b/>
                <w:color w:val="000000"/>
              </w:rPr>
              <w:t>：</w:t>
            </w:r>
          </w:p>
          <w:p>
            <w:pPr>
              <w:pStyle w:val="null3"/>
              <w:ind w:firstLine="400"/>
            </w:pPr>
            <w:r>
              <w:rPr>
                <w:rFonts w:ascii="仿宋_GB2312" w:hAnsi="仿宋_GB2312" w:cs="仿宋_GB2312" w:eastAsia="仿宋_GB2312"/>
                <w:sz w:val="20"/>
                <w:color w:val="000000"/>
              </w:rPr>
              <w:t>(1)本项目标的</w:t>
            </w:r>
            <w:r>
              <w:rPr>
                <w:rFonts w:ascii="仿宋_GB2312" w:hAnsi="仿宋_GB2312" w:cs="仿宋_GB2312" w:eastAsia="仿宋_GB2312"/>
                <w:sz w:val="20"/>
                <w:color w:val="000000"/>
              </w:rPr>
              <w:t>所属行业为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u w:val="single"/>
              </w:rPr>
              <w:t>工业</w:t>
            </w:r>
            <w:r>
              <w:rPr>
                <w:rFonts w:ascii="仿宋_GB2312" w:hAnsi="仿宋_GB2312" w:cs="仿宋_GB2312" w:eastAsia="仿宋_GB2312"/>
                <w:sz w:val="20"/>
                <w:color w:val="000000"/>
              </w:rPr>
              <w:t>（从业人员</w:t>
            </w:r>
            <w:r>
              <w:rPr>
                <w:rFonts w:ascii="仿宋_GB2312" w:hAnsi="仿宋_GB2312" w:cs="仿宋_GB2312" w:eastAsia="仿宋_GB2312"/>
                <w:sz w:val="20"/>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2）核心产品的</w:t>
            </w:r>
            <w:r>
              <w:rPr>
                <w:rFonts w:ascii="仿宋_GB2312" w:hAnsi="仿宋_GB2312" w:cs="仿宋_GB2312" w:eastAsia="仿宋_GB2312"/>
                <w:sz w:val="20"/>
                <w:color w:val="000000"/>
              </w:rPr>
              <w:t>名称：</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健康小屋系统</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shd w:fill="FFFFFF" w:val="clear"/>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3）属于</w:t>
            </w:r>
            <w:r>
              <w:rPr>
                <w:rFonts w:ascii="仿宋_GB2312" w:hAnsi="仿宋_GB2312" w:cs="仿宋_GB2312" w:eastAsia="仿宋_GB2312"/>
                <w:sz w:val="20"/>
                <w:color w:val="000000"/>
              </w:rPr>
              <w:t>强制采购的节能产品</w:t>
            </w:r>
            <w:r>
              <w:rPr>
                <w:rFonts w:ascii="仿宋_GB2312" w:hAnsi="仿宋_GB2312" w:cs="仿宋_GB2312" w:eastAsia="仿宋_GB2312"/>
                <w:sz w:val="20"/>
                <w:color w:val="000000"/>
              </w:rPr>
              <w:t>的，投标人应</w:t>
            </w:r>
            <w:r>
              <w:rPr>
                <w:rFonts w:ascii="仿宋_GB2312" w:hAnsi="仿宋_GB2312" w:cs="仿宋_GB2312" w:eastAsia="仿宋_GB2312"/>
                <w:sz w:val="20"/>
                <w:color w:val="000000"/>
              </w:rPr>
              <w:t>在</w:t>
            </w:r>
            <w:r>
              <w:rPr>
                <w:rFonts w:ascii="仿宋_GB2312" w:hAnsi="仿宋_GB2312" w:cs="仿宋_GB2312" w:eastAsia="仿宋_GB2312"/>
                <w:sz w:val="20"/>
                <w:color w:val="000000"/>
              </w:rPr>
              <w:t>“商务技术文件”中按要求提供强制节能产品认证证书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未提供</w:t>
            </w:r>
            <w:r>
              <w:rPr>
                <w:rFonts w:ascii="仿宋_GB2312" w:hAnsi="仿宋_GB2312" w:cs="仿宋_GB2312" w:eastAsia="仿宋_GB2312"/>
                <w:sz w:val="20"/>
                <w:color w:val="000000"/>
              </w:rPr>
              <w:t>强制节能产品认证证书</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节能产品认证证书</w:t>
            </w:r>
            <w:r>
              <w:rPr>
                <w:rFonts w:ascii="仿宋_GB2312" w:hAnsi="仿宋_GB2312" w:cs="仿宋_GB2312" w:eastAsia="仿宋_GB2312"/>
                <w:sz w:val="20"/>
                <w:color w:val="000000"/>
              </w:rPr>
              <w:t>超出有效期的，按无效响应文件处理</w:t>
            </w:r>
            <w:r>
              <w:rPr>
                <w:rFonts w:ascii="仿宋_GB2312" w:hAnsi="仿宋_GB2312" w:cs="仿宋_GB2312" w:eastAsia="仿宋_GB2312"/>
                <w:sz w:val="20"/>
                <w:color w:val="000000"/>
              </w:rPr>
              <w:t>。</w:t>
            </w:r>
          </w:p>
          <w:p>
            <w:pPr>
              <w:pStyle w:val="null3"/>
              <w:ind w:firstLine="40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自合同签订生效之日起60天完成供货、安装、调试、验收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所有货物供货、安装、调试、验收合格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中标人所供的货物（产品）或服务进行检查或验收，中标人须无条件地接受采购人的各类检查或验收；若验收不通过或质量不合格，中标人应在一定期限进行整改完善，以采购人要求的标准提供合格的货物（产品）或服务；若中标人在接受检查整改后，仍不能提供符合采购要求的合格货物（产品）或服务，采购人有权按违约予以撤项，具体按合同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本项目整体质保期≥24个月，投标人承诺超过采购文件要求的，按其承诺的质保期进行质保，质保期起始时间为终验合格之日。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的报价是投标人响应招标项目要求的全部工作内容的价格体现，包括投标人完成本项目所需的直接费、间接费、利润、税金及其他相关的一切费用，包括但不限于：产品费、附件费、工具费、验收费、运输费、保险费、安装费、调试费、技术服务费（含售后）、招标代理费、税金、利润及不可预见费等费用；投标总价中不得包含招标文件要求以外的内容，否则，在评标时不予核减。在提供服务的过程中出现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二百四十三条【诬告陷害罪】捏造事实诬告陷害他人，意图使他人受到刑事追究，情节严重的，处三年以下有期徒刑、拘役或者管制；造成严重后果的，处三年以上十年以下有期徒刑。 （2）《中华人民共和国刑法》第二百四十六条【侮辱罪、诽谤罪】以暴力或者其他方法公然侮辱他人或者捏造事实诽谤他人，情节严重的，处三年以下有期徒刑、拘役、管制或者剥夺政治权利。 七、参与本项目的投标人应通过陕西省政府采购综合管理平台的项目电子化交易系统在线实施报名、获取采购文件、响应、报价等操作，投标人无需现场提供纸质响应文件。但在中标（成交）后，中标（成交）供应商在领取中标（成交）通知书时需提供纸质响应文件正本一套、副本一套用于备案，纸质投标文件应通过专用制作软件直接打印，确保与项目电子化交易系统中的电子投标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投标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③控股管理关系及重大违法记录等以投标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在项目电子化交易系统中按要求填写《投标函》完成承诺并进行电子签章（具体以投标截止日现场查询结果为准）。</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（4）不同投标人的响应文件异常一致或者投标报价呈规律性差异。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投标文件内容齐全、无遗漏，符合招标文件中的实质性条款要求，且未含有招标人不能接受的附加条件。</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标的数量、交货期、交货地点、质保期</w:t>
            </w:r>
          </w:p>
        </w:tc>
        <w:tc>
          <w:tcPr>
            <w:tcW w:type="dxa" w:w="3322"/>
          </w:tcPr>
          <w:p>
            <w:pPr>
              <w:pStyle w:val="null3"/>
            </w:pPr>
            <w:r>
              <w:rPr>
                <w:rFonts w:ascii="仿宋_GB2312" w:hAnsi="仿宋_GB2312" w:cs="仿宋_GB2312" w:eastAsia="仿宋_GB2312"/>
              </w:rPr>
              <w:t>满足招标文件中规定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技术指标、功能与配置</w:t>
            </w:r>
          </w:p>
        </w:tc>
        <w:tc>
          <w:tcPr>
            <w:tcW w:type="dxa" w:w="2492"/>
          </w:tcPr>
          <w:p>
            <w:pPr>
              <w:pStyle w:val="null3"/>
            </w:pPr>
            <w:r>
              <w:rPr>
                <w:rFonts w:ascii="仿宋_GB2312" w:hAnsi="仿宋_GB2312" w:cs="仿宋_GB2312" w:eastAsia="仿宋_GB2312"/>
              </w:rPr>
              <w:t>根据10项带“▲”的技术指标参数计分，所有技术参数指标、功能配置均满足招标文件要求的得满分，有一项不满足扣2分，扣完为止。 说明：提供带“▲”的技术参数的相关证明材料,不限于原厂印刷的产品说明书、质量证书、检测报告、宣传资料、官网截图等，未提供证明材料或证明材料不充分视为不满足，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根据整体实施方案的①整体规划、②进货，备货、③质量保证措施、④人员配置及职责分工、⑤供货组织、⑥安装，调试，验收方案的响应程度。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根据对售后服务的①整体服务方案、②响应时间及方式、③培训方案和内容、④设备故障补救措施、⑤备品配件供应、⑥质保期满后服务等的响应程度。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认定为节能产品的，每种产品得0.5分,最高得1分； 认定为环保产品的，每种产品得0.5分,最高得1分； 节能产品、环境标志产品为品目清单中产品并取得认证证书；属于强制采购的产品,不再给予加分。 既是节能产品又是环保产品可同时得分,非节能、环保产品的不得分。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针对本项目有项目负责人，且项目负责人具有三年以上信息化软件产品及系统的操作或使用经验，并承诺帮助采购人将设备调试到最佳使用状态，全部满足的得2分，其他情况不得分。 说明：操作和使用经验相关证明材料不限于执业证、劳动合同、从业证明、资格证书等。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具有2022年1月1日起至今（时间以合同签订时间为准）信息化产品或系统对接类项目业绩；每提供一个业绩得2分，最高得10分。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低投标评审价为评标基准价，其投标报价为满分。其他投标人的报价得分，统一按照下列公式计算： 报价得分=(评标基准价／评审价)×30 评审价=投标报价*（1-价格折扣）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（1）投标人提供的货物符合相应条件时（全部为小微企业制造），给予投标报价扣除10% 优惠政策，即：投标评审价=投标报价×（1-10%）；监狱企业与残疾人福利性单位视同小微型企业，享受同等价格扣除，当企业属性重复时，不重复价格扣除，只要有大中型企业制造货物情形的，就不得享受价格扣除优惠政策。 （2）投标人提供的《中小企业声明函》或者《残疾人福利性单位声明函》存在明显错误的，评标委员会可以按照招标文件中相关条款的规定，要求投标人作出澄清；澄清后，符合小微企业条件的，予以享受价格扣除优惠政策；否则，不予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详见附件：资格证明文件（采购包3）</w:t>
      </w:r>
    </w:p>
    <w:p>
      <w:pPr>
        <w:pStyle w:val="null3"/>
        <w:ind w:firstLine="960"/>
      </w:pPr>
      <w:r>
        <w:rPr>
          <w:rFonts w:ascii="仿宋_GB2312" w:hAnsi="仿宋_GB2312" w:cs="仿宋_GB2312" w:eastAsia="仿宋_GB2312"/>
        </w:rPr>
        <w:t>详见附件：商务、技术文件（采购包1、采购包2、采购包3）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