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版本号：YYZB-2025-001720250929001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雁塔区“就业公共服务进校园”暨“千企高校行”高校毕业生就业服务专项行动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YYZB-2025-0017</w:t>
      </w:r>
      <w:r>
        <w:br/>
      </w:r>
      <w:r>
        <w:br/>
      </w:r>
      <w:r>
        <w:br/>
      </w:r>
    </w:p>
    <w:p>
      <w:pPr>
        <w:pStyle w:val="null3"/>
        <w:jc w:val="center"/>
        <w:outlineLvl w:val="2"/>
      </w:pPr>
      <w:r>
        <w:rPr>
          <w:rFonts w:ascii="仿宋_GB2312" w:hAnsi="仿宋_GB2312" w:cs="仿宋_GB2312" w:eastAsia="仿宋_GB2312"/>
          <w:sz w:val="28"/>
          <w:b/>
        </w:rPr>
        <w:t>雁塔区人力资源和社会保障局</w:t>
      </w:r>
    </w:p>
    <w:p>
      <w:pPr>
        <w:pStyle w:val="null3"/>
        <w:jc w:val="center"/>
        <w:outlineLvl w:val="2"/>
      </w:pPr>
      <w:r>
        <w:rPr>
          <w:rFonts w:ascii="仿宋_GB2312" w:hAnsi="仿宋_GB2312" w:cs="仿宋_GB2312" w:eastAsia="仿宋_GB2312"/>
          <w:sz w:val="28"/>
          <w:b/>
        </w:rPr>
        <w:t>耀阳项目管理（陕西）有限公司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耀阳项目管理（陕西）有限公司</w:t>
      </w:r>
      <w:r>
        <w:rPr>
          <w:rFonts w:ascii="仿宋_GB2312" w:hAnsi="仿宋_GB2312" w:cs="仿宋_GB2312" w:eastAsia="仿宋_GB2312"/>
        </w:rPr>
        <w:t>（以下简称“代理机构”）受</w:t>
      </w:r>
      <w:r>
        <w:rPr>
          <w:rFonts w:ascii="仿宋_GB2312" w:hAnsi="仿宋_GB2312" w:cs="仿宋_GB2312" w:eastAsia="仿宋_GB2312"/>
        </w:rPr>
        <w:t>雁塔区人力资源和社会保障局</w:t>
      </w:r>
      <w:r>
        <w:rPr>
          <w:rFonts w:ascii="仿宋_GB2312" w:hAnsi="仿宋_GB2312" w:cs="仿宋_GB2312" w:eastAsia="仿宋_GB2312"/>
        </w:rPr>
        <w:t>委托，拟对</w:t>
      </w:r>
      <w:r>
        <w:rPr>
          <w:rFonts w:ascii="仿宋_GB2312" w:hAnsi="仿宋_GB2312" w:cs="仿宋_GB2312" w:eastAsia="仿宋_GB2312"/>
        </w:rPr>
        <w:t>雁塔区“就业公共服务进校园”暨“千企高校行”高校毕业生就业服务专项行动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YYZB-2025-0017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雁塔区“就业公共服务进校园”暨“千企高校行”高校毕业生就业服务专项行动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雁塔区“就业公共服务进校园”暨“千企高校行”高校毕业生就业服务专项行动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采购包1（雁塔区“就业公共服务进校园”暨“千企高校行”高校毕业生就业服务专项行动）：属于专门面向中小企业采购。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磋商前六个月内其基本存款账户开户银行出具的资信证明及基本存款账户开户许可证（基本账户信息表）；供应商需在项目电子化交易系统中按要求上传相应证明文件并进行电子签章。</w:t>
      </w:r>
    </w:p>
    <w:p>
      <w:pPr>
        <w:pStyle w:val="null3"/>
      </w:pPr>
      <w:r>
        <w:rPr>
          <w:rFonts w:ascii="仿宋_GB2312" w:hAnsi="仿宋_GB2312" w:cs="仿宋_GB2312" w:eastAsia="仿宋_GB2312"/>
        </w:rPr>
        <w:t>3、社保缴纳证明：提供响应时间前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4、税收缴纳证明：提供响应时间前一年内已缴纳的至少一个月的纳税证明或完税证明，依法免税的单位应提供相关证明材料；供应商需在项目电子化交易系统中按要求上传相应证明文件并进行电子签章。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5、书面声明：出具履行合同所必需的设备和专业技术能力的书面声明；供应商需在项目电子化交易系统中按要求上传相应证明文件并进行电子签章。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6、供应商未被列入《信用中国》失信被执行人、重大税收违法失信主体、政府采购严重违法失信行为记录名单和《中国政府采购网》政府采购严重违法失信行为记录名单：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pPr>
        <w:pStyle w:val="null3"/>
      </w:pPr>
      <w:r>
        <w:rPr>
          <w:rFonts w:ascii="仿宋_GB2312" w:hAnsi="仿宋_GB2312" w:cs="仿宋_GB2312" w:eastAsia="仿宋_GB2312"/>
        </w:rPr>
        <w:t>7、法定代表人授权委托书：法定代表人参加磋商的，须提供法定代表人身份证明；法定代表人授权他人参加磋商的，须提供法定代表人授权委托书。（法人参加只需提供法定代表人身份证明）。供应商需在项目电子化交易系统中按要求上传相应证明文件并进行电子签章。</w:t>
      </w:r>
    </w:p>
    <w:p>
      <w:pPr>
        <w:pStyle w:val="null3"/>
      </w:pPr>
      <w:r>
        <w:rPr>
          <w:rFonts w:ascii="仿宋_GB2312" w:hAnsi="仿宋_GB2312" w:cs="仿宋_GB2312" w:eastAsia="仿宋_GB2312"/>
        </w:rPr>
        <w:t>8、供应商具有合法有效的人力资源服务许可证：供应商具有合法有效的人力资源服务许可证，供应商需在项目电子化交易系统中按要求上传相应证明文件并进行电子签章。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西安市雁塔区电子正街南段与双桥一巷十字西南角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029-81166935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耀阳项目管理（陕西）有限公司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陕西省西安市雁塔区科技六路高新时代广场B座706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孟凡博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029-81325677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以及『2011』534号文中规定的标准，采购代理机构在成交人领取成交通知书时向成交人收取，此招标代理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雁塔区人力资源和社会保障局</w:t>
      </w:r>
      <w:r>
        <w:rPr>
          <w:rFonts w:ascii="仿宋_GB2312" w:hAnsi="仿宋_GB2312" w:cs="仿宋_GB2312" w:eastAsia="仿宋_GB2312"/>
        </w:rPr>
        <w:t>和</w:t>
      </w:r>
      <w:r>
        <w:rPr>
          <w:rFonts w:ascii="仿宋_GB2312" w:hAnsi="仿宋_GB2312" w:cs="仿宋_GB2312" w:eastAsia="仿宋_GB2312"/>
        </w:rPr>
        <w:t>耀阳项目管理（陕西）有限公司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耀阳项目管理（陕西）有限公司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雁塔区人力资源和社会保障局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耀阳项目管理（陕西）有限公司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联系人：孟凡博</w:t>
      </w:r>
    </w:p>
    <w:p>
      <w:pPr>
        <w:pStyle w:val="null3"/>
      </w:pPr>
      <w:r>
        <w:rPr>
          <w:rFonts w:ascii="仿宋_GB2312" w:hAnsi="仿宋_GB2312" w:cs="仿宋_GB2312" w:eastAsia="仿宋_GB2312"/>
        </w:rPr>
        <w:t>联系电话：029-81325677</w:t>
      </w:r>
    </w:p>
    <w:p>
      <w:pPr>
        <w:pStyle w:val="null3"/>
      </w:pPr>
      <w:r>
        <w:rPr>
          <w:rFonts w:ascii="仿宋_GB2312" w:hAnsi="仿宋_GB2312" w:cs="仿宋_GB2312" w:eastAsia="仿宋_GB2312"/>
        </w:rPr>
        <w:t>地址：陕西省西安市雁塔区科技六路高新时代广场B座706</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助力高校毕业生就业，支持提升就业能力，搭建就业创业服务平台，面向高校毕业生持续开展政策宣传、招聘服务、就业指导、职业培训、困难帮扶等公共就业服务活动，提升高校毕业生就业服务效能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雁塔区“就业公共服务进校园”暨“千企高校行”高校毕业生就业服务专项行动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标的名称：雁塔区“就业公共服务进校园”暨“千企高校行”高校毕业生就业服务专项行动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5" w:firstLine="640"/>
              <w:jc w:val="both"/>
            </w:pPr>
            <w:r>
              <w:rPr>
                <w:rFonts w:ascii="仿宋_GB2312" w:hAnsi="仿宋_GB2312" w:cs="仿宋_GB2312" w:eastAsia="仿宋_GB2312"/>
                <w:sz w:val="32"/>
              </w:rPr>
              <w:t>开展校园现场招聘会、网络招聘会、直播带岗等就业服务活动不少于</w:t>
            </w:r>
            <w:r>
              <w:rPr>
                <w:rFonts w:ascii="仿宋_GB2312" w:hAnsi="仿宋_GB2312" w:cs="仿宋_GB2312" w:eastAsia="仿宋_GB2312"/>
                <w:sz w:val="32"/>
              </w:rPr>
              <w:t>20场。服务期内挖掘岗位信息不少于5000个，服务高校毕业生不少于1000人次，开展自媒体宣传及合作媒体宣传不少于20次，提升政策知晓度和活动影响力。在就业服务对象中梳理就业典型案例不少于3个,并整理相关素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有针对本项目的专业服务团队，人员配备数量充足</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满足本项目各种需求。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自合同签订之日起至项目执行结束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采购人制定地点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合同约定的所有服务内容经验收合格后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磋商前六个月内其基本存款账户开户银行出具的资信证明及基本存款账户开户许可证（基本账户信息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磋商前六个月内其基本存款账户开户银行出具的资信证明及基本存款账户开户许可证（基本账户信息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出具履行合同所必需的设备和专业技术能力的书面声明；供应商需在项目电子化交易系统中按要求上传相应证明文件并进行电子签章。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委托书。（法人参加只需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供应商具有合法有效的人力资源服务许可证</w:t>
            </w:r>
          </w:p>
        </w:tc>
        <w:tc>
          <w:tcPr>
            <w:tcW w:type="dxa" w:w="3322"/>
          </w:tcPr>
          <w:p>
            <w:pPr>
              <w:pStyle w:val="null3"/>
            </w:pPr>
            <w:r>
              <w:rPr>
                <w:rFonts w:ascii="仿宋_GB2312" w:hAnsi="仿宋_GB2312" w:cs="仿宋_GB2312" w:eastAsia="仿宋_GB2312"/>
              </w:rPr>
              <w:t>供应商具有合法有效的人力资源服务许可证，供应商需在项目电子化交易系统中按要求上传相应证明文件并进行电子签章。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磋商响应文件构成是否有缺项，是否按照磋商响应文件要求编写投标文件。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内容无重大缺漏项，报价唯一，且没有低于成本价或高于采购预算。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法定代表人参加磋商的，须提供法定代表人身份证明；法定代表人授权他人参加磋商的，须提供法定代表人授权委托书。（法人参加只需提供法定代表人身份证明）。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项目需求理解及服务响应</w:t>
            </w:r>
          </w:p>
        </w:tc>
        <w:tc>
          <w:tcPr>
            <w:tcW w:type="dxa" w:w="2492"/>
          </w:tcPr>
          <w:p>
            <w:pPr>
              <w:pStyle w:val="null3"/>
            </w:pPr>
            <w:r>
              <w:rPr>
                <w:rFonts w:ascii="仿宋_GB2312" w:hAnsi="仿宋_GB2312" w:cs="仿宋_GB2312" w:eastAsia="仿宋_GB2312"/>
              </w:rPr>
              <w:t>（1）根据采购人提出的采购需求拟定的需求理解及分析，实施方案全面合理、完整详尽，科学客观，满足本项目实际情况，得15分；（2）实施方案基本完善、全面、合理可行，基本满足本项目实际情况，得10分；（3）实施方案虽有一定可行性，但存在部分欠缺，得5分；（4）未提供或不适用于本项目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活动方案</w:t>
            </w:r>
          </w:p>
        </w:tc>
        <w:tc>
          <w:tcPr>
            <w:tcW w:type="dxa" w:w="2492"/>
          </w:tcPr>
          <w:p>
            <w:pPr>
              <w:pStyle w:val="null3"/>
            </w:pPr>
            <w:r>
              <w:rPr>
                <w:rFonts w:ascii="仿宋_GB2312" w:hAnsi="仿宋_GB2312" w:cs="仿宋_GB2312" w:eastAsia="仿宋_GB2312"/>
              </w:rPr>
              <w:t>（1）根据采购人提出的采购需求编制详细可行的活动方案，实施方案全面合理、完整详尽，科学客观，满足本项目实际情况，得25分；（2）实施方案基本完善、全面、合理可行，基本满足本项目实际情况，得20分；（3）实施方案较为合理，有一定的可行性，符合项目实际情况，得12分；（4）实施方案虽有一定可行性，但存在部分欠缺，得6分；（5）未提供或不适用于本项目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根据采购人提出的采购需求得服务承诺内容全面、合理、可行，能完全满足采购人需求的，得12分；（2）承诺内容较为全面、基本合理可行，能基本满足采购人需求的，得8分；（3）内容不全、可行性一般的，得4分；（4）未提供或不适用于本项目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1）对于项目实施关键节点把握准确，进度掌控能力强，可行性强，得10分；（2）关键节点把握较为准确，可行性较好，得6分；（3）节点把握不准，可行性一般，的3分；（4）未提供或不适用于本项目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依据对本项目的理解，切合项目实际情况，为采购人提供有利于项目实施的合理化建议，按其内容综合评审。合理化建议内容完整全面、详尽合理、具备较强的可操作性，得5分；（2）合理化建议内容条款有针对性，但表述简单，可操作性欠缺的得3分；（3）合理化建议空泛，不具备项目针对性、表述不合理的得1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2023年1月1日至今类似活动项目业绩，每提供1份得1分，最高得3分。（2）业绩证明：以合同或中标（成交）通知书为准，须在响应文件中附合同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1）满足项目需求，团队及人员分工明确且经验丰富，岗位职责明确清晰，能够提供相关证明材料的得10分；（2）内容、团队和人员配备有分工，能力及分工能满足项目需求，但不能提供证明材料的得6分；（3）方案内容、人员配备欠缺，无法满足项目需求得3分；（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供应商针对活动组织过程中发生的紧急突发情况，有全面具体的应急预案,对各类型突发事件都有对应处理措施，内容全面详细，实用，可行性强，得10分；（2）应急预案内容对常见突发事件有对应处理措施，内容基本全面实用，得6分；（3）应急预案内容简单，不具备可行性得3分；（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