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版本号：YYZB-2025-001620250930001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西安文理学院就业驿站运营服务项目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YYZB-2025-0016</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耀阳项目管理（陕西）有限公司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西安文理学院就业驿站运营服务项目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YYZB-2025-0016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西安文理学院就业驿站运营服务项目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西安文理学院就业驿站运营服务项目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采购包1（西安文理学院就业驿站运营服务项目）：属于专门面向中小企业采购。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磋商前六个月内其基本存款账户开户银行出具的资信证明及基本存款账户开户许可证（基本账户信息表）；供应商需在项目电子化交易系统中按要求上传相应证明文件并进行电子签章。</w:t>
      </w:r>
    </w:p>
    <w:p>
      <w:pPr>
        <w:pStyle w:val="null3"/>
      </w:pPr>
      <w:r>
        <w:rPr>
          <w:rFonts w:ascii="仿宋_GB2312" w:hAnsi="仿宋_GB2312" w:cs="仿宋_GB2312" w:eastAsia="仿宋_GB2312"/>
        </w:rPr>
        <w:t>3、社保缴纳证明：提供响应时间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4、税收缴纳证明：提供响应时间前一年内已缴纳的至少一个月的纳税证明或完税证明，依法免税的单位应提供相关证明材料；供应商需在项目电子化交易系统中按要求上传相应证明文件并进行电子签章。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5、书面声明：出具履行合同所必需的设备和专业技术能力的书面声明；供应商需在项目电子化交易系统中按要求上传相应证明文件并进行电子签章。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供应商未被列入《信用中国》失信被执行人、重大税收违法失信主体、政府采购严重违法失信行为记录名单和《中国政府采购网》政府采购严重违法失信行为记录名单：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7、法定代表人授权委托书：法定代表人参加磋商的，须提供法定代表人身份证明；法定代表人授权他人参加磋商的，须提供法定代表人授权委托书。（法人参加只需提供法定代表人身份证明）。供应商需在项目电子化交易系统中按要求上传相应证明文件并进行电子签章。</w:t>
      </w:r>
    </w:p>
    <w:p>
      <w:pPr>
        <w:pStyle w:val="null3"/>
      </w:pPr>
      <w:r>
        <w:rPr>
          <w:rFonts w:ascii="仿宋_GB2312" w:hAnsi="仿宋_GB2312" w:cs="仿宋_GB2312" w:eastAsia="仿宋_GB2312"/>
        </w:rPr>
        <w:t>8、供应商具有合法有效的人力资源服务许可证：供应商具有合法有效的人力资源服务许可证，供应商需在项目电子化交易系统中按要求上传相应证明文件并进行电子签章。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81166935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02981325677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以及『2011』534号文中规定的标准，采购代理机构在成交人领取成交通知书时向成交人收取，此招标代理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联系人：孟凡博</w:t>
      </w:r>
    </w:p>
    <w:p>
      <w:pPr>
        <w:pStyle w:val="null3"/>
      </w:pPr>
      <w:r>
        <w:rPr>
          <w:rFonts w:ascii="仿宋_GB2312" w:hAnsi="仿宋_GB2312" w:cs="仿宋_GB2312" w:eastAsia="仿宋_GB2312"/>
        </w:rPr>
        <w:t>联系电话：02981325677</w:t>
      </w:r>
    </w:p>
    <w:p>
      <w:pPr>
        <w:pStyle w:val="null3"/>
      </w:pPr>
      <w:r>
        <w:rPr>
          <w:rFonts w:ascii="仿宋_GB2312" w:hAnsi="仿宋_GB2312" w:cs="仿宋_GB2312" w:eastAsia="仿宋_GB2312"/>
        </w:rPr>
        <w:t>地址：陕西省西安市雁塔区科技六路高新时代广场B座706</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为进一步搭建高校就业创业服务平台，做好西安文理学院高校就业服务驿站运营，落实1+6+N+1高校就业驿站服务机制，为高校毕业生提供精准化、专业化、个性化的就业服务，提升毕业生就业能力。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西安文理学院就业驿站运营服务项目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标的名称：西安文理学院就业驿站运营服务项目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搭建高校就业创业服务平台，做好西安文理学院高校就业服务驿站运营，落实</w:t>
            </w:r>
            <w:r>
              <w:rPr>
                <w:rFonts w:ascii="仿宋_GB2312" w:hAnsi="仿宋_GB2312" w:cs="仿宋_GB2312" w:eastAsia="仿宋_GB2312"/>
                <w:sz w:val="32"/>
              </w:rPr>
              <w:t>1+6+N+1高校就业驿站服务机制，开展高校毕业生人才服务，提供档案托管咨询、就业见习政策咨询，配备专职工作人员，每周1-2天驻扎高校开展常态化就业服务或组织开展相关活动，建立“每月1主题”的就业创业服务机制，全年服务高校学生不少于5000人次，发布岗位信息不低于10000条（其中就业见习信息不少于500条），开展公共就业服务活动不少于40场（其中政策咨询服务不少于10场，招聘活动不少于8场）。开展信息宣传不少于21次、梳理就业帮扶典型案例不少于6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有针对本项目的专业服务团队，人员配备数量充足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满足本项目各种需求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合同约定所有服务内容经验收合格后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磋商前六个月内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磋商前六个月内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法人参加只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供应商具有合法有效的人力资源服务许可证</w:t>
            </w:r>
          </w:p>
        </w:tc>
        <w:tc>
          <w:tcPr>
            <w:tcW w:type="dxa" w:w="3322"/>
          </w:tcPr>
          <w:p>
            <w:pPr>
              <w:pStyle w:val="null3"/>
            </w:pPr>
            <w:r>
              <w:rPr>
                <w:rFonts w:ascii="仿宋_GB2312" w:hAnsi="仿宋_GB2312" w:cs="仿宋_GB2312" w:eastAsia="仿宋_GB2312"/>
              </w:rPr>
              <w:t>供应商具有合法有效的人力资源服务许可证，供应商需在项目电子化交易系统中按要求上传相应证明文件并进行电子签章。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磋商响应文件构成是否有缺项，是否按照磋商响应文件要求编写投标文件。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内容无重大缺漏项，报价唯一，且没有低于成本价或高于采购预算。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法定代表人参加磋商的，须提供法定代表人身份证明；法定代表人授权他人参加磋商的，须提供法定代表人授权委托书。（法人参加只需提供法定代表人身份证明）。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项目需求理解及服务响应</w:t>
            </w:r>
          </w:p>
        </w:tc>
        <w:tc>
          <w:tcPr>
            <w:tcW w:type="dxa" w:w="2492"/>
          </w:tcPr>
          <w:p>
            <w:pPr>
              <w:pStyle w:val="null3"/>
            </w:pPr>
            <w:r>
              <w:rPr>
                <w:rFonts w:ascii="仿宋_GB2312" w:hAnsi="仿宋_GB2312" w:cs="仿宋_GB2312" w:eastAsia="仿宋_GB2312"/>
              </w:rPr>
              <w:t>（1）根据采购人提出的采购需求拟定的需求理解及分析，实施方案全面合理、完整详尽，科学客观，满足本项目实际情况，得15分；（2）实施方案基本完善、全面、合理可行，基本满足本项目实际情况，得10分；（3）实施方案虽有一定可行性，但存在部分欠缺，得5分；（4）未提供或不适用于本项目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采购人提出的采购需求编制详细可行的实施方案，方案全面合理、完整详尽，科学客观，满足本项目实际情况，得25分；（2）实施方案基本完善、全面、合理可行，基本满足本项目实际情况，得20分；（3）实施方案较为合理，有一定的可行性，符合项目实际情况，得12分；（4）实施方案虽有一定可行性，但存在部分欠缺，得6分；（5）未提供或不适用于本项目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根据采购人提出的采购需求得服务承诺内容全面、合理、可行，能完全满足采购人需求的，得12分；（2）承诺内容较为全面、基本合理可行，能基本满足采购人需求的，得8分；（3）内容不全、可行性一般的，得4分；（4）未提供或不适用于本项目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对于项目实施关键节点把握准确，进度掌控能力强，可行性强，得10分；（2）关键节点把握较为准确，可行性较好，得6分；（3）节点把握不准，可行性一般，的3分；（4）未提供或不适用于本项目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依据对本项目的理解，切合项目实际情况，为采购人提供有利于项目实施的合理化建议，按其内容综合评审。合理化建议内容完整全面、详尽合理、具备较强的可操作性，得5分；（2）合理化建议内容条款有针对性，但表述简单，可操作性欠缺的得3分；（3）合理化建议空泛，不具备项目针对性、表述不合理的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2023年1月1日至今类似活动项目业绩，每提供1份得1分，最高得3分。（2）业绩证明：以合同或中标（成交）通知书为准，须在响应文件中附合同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1）满足项目需求，团队及人员分工明确且经验丰富，岗位职责明确清晰，能够提供相关证明材料的得10分；（2）内容、团队和人员配备有分工，能力及分工能满足项目需求，但不能提供证明材料的得6分；（3）方案内容、人员配备欠缺，无法满足项目需求得3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活动组织过程中发生的紧急突发情况，有全面具体的应急预案,对各类型突发事件都有对应处理措施，内容全面详细，实用，可行性强，得10分；（2）应急预案内容对常见突发事件有对应处理措施，内容基本全面实用，得6分；（3）应急预案内容简单，不具备可行性得3分；（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