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版本号：SXLZ-2025-15920250910001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西安市雁塔区医保基金监督管理工作项目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SXLZ-2025-159</w:t>
      </w:r>
      <w:r>
        <w:br/>
      </w:r>
      <w:r>
        <w:br/>
      </w:r>
      <w:r>
        <w:br/>
      </w:r>
    </w:p>
    <w:p>
      <w:pPr>
        <w:pStyle w:val="null3"/>
        <w:jc w:val="center"/>
        <w:outlineLvl w:val="2"/>
      </w:pPr>
      <w:r>
        <w:rPr>
          <w:rFonts w:ascii="仿宋_GB2312" w:hAnsi="仿宋_GB2312" w:cs="仿宋_GB2312" w:eastAsia="仿宋_GB2312"/>
          <w:sz w:val="28"/>
          <w:b/>
        </w:rPr>
        <w:t>西安市雁塔区医疗保障局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西安市雁塔区医疗保障局</w:t>
      </w:r>
      <w:r>
        <w:rPr>
          <w:rFonts w:ascii="仿宋_GB2312" w:hAnsi="仿宋_GB2312" w:cs="仿宋_GB2312" w:eastAsia="仿宋_GB2312"/>
        </w:rPr>
        <w:t>委托，拟对</w:t>
      </w:r>
      <w:r>
        <w:rPr>
          <w:rFonts w:ascii="仿宋_GB2312" w:hAnsi="仿宋_GB2312" w:cs="仿宋_GB2312" w:eastAsia="仿宋_GB2312"/>
        </w:rPr>
        <w:t>西安市雁塔区医保基金监督管理工作项目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SXLZ-2025-159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西安市雁塔区医保基金监督管理工作项目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强化大数据分析、线索检核等方式，加强医保基金监管。提升监管专业化、规范化水平，维护医保基金安全（具体详见竞争性磋商文件）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采购包1（宣传品采购）：属于专门面向中小企业采购。</w:t>
      </w:r>
    </w:p>
    <w:p>
      <w:pPr>
        <w:pStyle w:val="null3"/>
      </w:pPr>
      <w:r>
        <w:rPr>
          <w:rFonts w:ascii="仿宋_GB2312" w:hAnsi="仿宋_GB2312" w:cs="仿宋_GB2312" w:eastAsia="仿宋_GB2312"/>
        </w:rPr>
        <w:t>采购包2（数据处理）：属于专门面向中小企业采购。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5、设备和专业技术能力声明：具有履行合同所必需的设备和专业技术能力的书面声明；</w:t>
      </w:r>
    </w:p>
    <w:p>
      <w:pPr>
        <w:pStyle w:val="null3"/>
      </w:pPr>
      <w:r>
        <w:rPr>
          <w:rFonts w:ascii="仿宋_GB2312" w:hAnsi="仿宋_GB2312" w:cs="仿宋_GB2312" w:eastAsia="仿宋_GB2312"/>
        </w:rPr>
        <w:t>6、法定代表人身份证明书或授权委托书：法定代表人直接参加投标的，须出具法定代表人身份证明书；法定代表人授权代表参加投标的，须出具法定代表人授权委托书；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信用查询截图：供应商不得为“信用中国”网站（www.creditchina.gov.cn）中列入失信被执行人和重大税收违法失信主体名单的单位，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10、本项目不接受联合体投标：提供非联合体投标声明。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5、设备和专业技术能力声明：具有履行合同所必需的设备和专业技术能力的书面声明；</w:t>
      </w:r>
    </w:p>
    <w:p>
      <w:pPr>
        <w:pStyle w:val="null3"/>
      </w:pPr>
      <w:r>
        <w:rPr>
          <w:rFonts w:ascii="仿宋_GB2312" w:hAnsi="仿宋_GB2312" w:cs="仿宋_GB2312" w:eastAsia="仿宋_GB2312"/>
        </w:rPr>
        <w:t>6、法定代表人身份证明书或授权委托书：法定代表人直接参加投标的，须出具法定代表人身份证明书；法定代表人授权代表参加投标的，须出具法定代表人授权委托书；</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信用查询截图：供应商不得为“信用中国”网站（www.creditchina.gov.cn）中列入失信被执行人和重大税收违法失信主体名单的单位，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9、企业关联关系：单位负责人为同一人或者存在直接控股、管理关系的不同供应商，不得参加同一合同项下的政府采购活动；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10、本项目不接受联合体投标：提供非联合体投标声明。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西安市雁塔区医疗保障局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13309202579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15309270789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经与采购单位协商，根据成交金额，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收取，代理服务费不足5000元按5000元计取，由成交方向陕西龙泽项目咨询管理有限公司一次性支付。 2、代理服务费账户：户名：陕西龙泽项目咨询管理有限公司； 开户行：中国建设银行股份有限公司西安雁塔南路南段支行； 账号： 61050111583800000087 ； 注：请成交供应商按照要求将服务费汇入以上指定账户，并备注“XX项目服务费”，如因自身原因发生错误，产生的不利后果均由供应商自行承担。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西安市雁塔区医疗保障局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西安市雁塔区医疗保障局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1.磋商文件、磋商响应文件、澄清表（函）；2.本项目合同及附件文本；3.国家相应的标准、规范。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1.磋商文件、磋商响应文件、澄清表（函）；2.本项目合同及附件文本；3.国家相应的标准、规范。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w:t>
      </w:r>
    </w:p>
    <w:p>
      <w:pPr>
        <w:pStyle w:val="null3"/>
      </w:pPr>
      <w:r>
        <w:rPr>
          <w:rFonts w:ascii="仿宋_GB2312" w:hAnsi="仿宋_GB2312" w:cs="仿宋_GB2312" w:eastAsia="仿宋_GB2312"/>
        </w:rPr>
        <w:t>联系电话：15309270789</w:t>
      </w:r>
    </w:p>
    <w:p>
      <w:pPr>
        <w:pStyle w:val="null3"/>
      </w:pPr>
      <w:r>
        <w:rPr>
          <w:rFonts w:ascii="仿宋_GB2312" w:hAnsi="仿宋_GB2312" w:cs="仿宋_GB2312" w:eastAsia="仿宋_GB2312"/>
        </w:rPr>
        <w:t>地址：陕西省西安市国家民用航天产业基地神舟五路与东长安街交汇处东南角航天城中心广场1号楼708</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强化大数据分析、线索检核等方式，加强医保基金监管。提升监管专业化、规范化水平，维护医保基金安全（具体详见竞争性磋商文件）。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w:t>
      </w:r>
    </w:p>
    <w:p>
      <w:pPr>
        <w:pStyle w:val="null3"/>
      </w:pPr>
      <w:r>
        <w:rPr>
          <w:rFonts w:ascii="仿宋_GB2312" w:hAnsi="仿宋_GB2312" w:cs="仿宋_GB2312" w:eastAsia="仿宋_GB2312"/>
        </w:rPr>
        <w:t>采购包最高限价（元）: 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宣传品采购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数据分析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标的名称：宣传品采购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b/>
              </w:rPr>
              <w:t>一、项目背景</w:t>
            </w:r>
          </w:p>
          <w:p>
            <w:pPr>
              <w:pStyle w:val="null3"/>
              <w:ind w:firstLine="640"/>
              <w:jc w:val="both"/>
            </w:pPr>
            <w:r>
              <w:rPr>
                <w:rFonts w:ascii="仿宋_GB2312" w:hAnsi="仿宋_GB2312" w:cs="仿宋_GB2312" w:eastAsia="仿宋_GB2312"/>
              </w:rPr>
              <w:t>西安市雁塔区医疗保障局致力于医保基金的监督管理工作，以确保医保基金的安全、稳定运行，维护广大参保群众的合法权益。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b/>
              </w:rPr>
              <w:t>二、采购目的</w:t>
            </w:r>
          </w:p>
          <w:p>
            <w:pPr>
              <w:pStyle w:val="null3"/>
              <w:ind w:firstLine="643"/>
              <w:jc w:val="both"/>
            </w:pPr>
            <w:r>
              <w:rPr>
                <w:rFonts w:ascii="仿宋_GB2312" w:hAnsi="仿宋_GB2312" w:cs="仿宋_GB2312" w:eastAsia="仿宋_GB2312"/>
                <w:b/>
              </w:rPr>
              <w:t>制作医保基金监管宣传册：</w:t>
            </w:r>
            <w:r>
              <w:rPr>
                <w:rFonts w:ascii="仿宋_GB2312" w:hAnsi="仿宋_GB2312" w:cs="仿宋_GB2312" w:eastAsia="仿宋_GB2312"/>
              </w:rPr>
              <w:t>设计并制作高质量的医保基金监管宣传册，以通俗易懂的方式向广大群众、两定机构工作人员等宣传医保基金监管政策法规、常见违规行为及举报途径等内容，提高全社会对医保基金监管工作的认知度和参与度。</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b/>
              </w:rPr>
              <w:t>三、采购要求</w:t>
            </w:r>
          </w:p>
          <w:p>
            <w:pPr>
              <w:pStyle w:val="null3"/>
              <w:ind w:firstLine="640"/>
              <w:jc w:val="both"/>
            </w:pPr>
            <w:r>
              <w:rPr>
                <w:rFonts w:ascii="仿宋_GB2312" w:hAnsi="仿宋_GB2312" w:cs="仿宋_GB2312" w:eastAsia="仿宋_GB2312"/>
                <w:b/>
              </w:rPr>
              <w:t>供货期：</w:t>
            </w:r>
            <w:r>
              <w:rPr>
                <w:rFonts w:ascii="仿宋_GB2312" w:hAnsi="仿宋_GB2312" w:cs="仿宋_GB2312" w:eastAsia="仿宋_GB2312"/>
              </w:rPr>
              <w:t>3个月。</w:t>
            </w:r>
          </w:p>
          <w:p>
            <w:pPr>
              <w:pStyle w:val="null3"/>
              <w:ind w:firstLine="643"/>
              <w:jc w:val="both"/>
            </w:pPr>
            <w:r>
              <w:rPr>
                <w:rFonts w:ascii="仿宋_GB2312" w:hAnsi="仿宋_GB2312" w:cs="仿宋_GB2312" w:eastAsia="仿宋_GB2312"/>
                <w:b/>
              </w:rPr>
              <w:t>宣传册制作服务：</w:t>
            </w:r>
            <w:r>
              <w:rPr>
                <w:rFonts w:ascii="仿宋_GB2312" w:hAnsi="仿宋_GB2312" w:cs="仿宋_GB2312" w:eastAsia="仿宋_GB2312"/>
              </w:rPr>
              <w:t>拥有专业的设计团队，能够结合医保基金监管主题，设计出美观、大方、具有吸引力的宣传册版面。宣传册内容应准确无误，语言简洁明了，采用图文并茂的形式，便于不同文化层次的受众理解。根据雁塔区医疗保障局的要求，按时完成宣传册的制作、印刷及交付工作。</w:t>
            </w:r>
          </w:p>
          <w:p>
            <w:pPr>
              <w:pStyle w:val="null3"/>
              <w:ind w:firstLine="643"/>
              <w:jc w:val="both"/>
            </w:pP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63"/>
              <w:gridCol w:w="584"/>
              <w:gridCol w:w="913"/>
              <w:gridCol w:w="263"/>
              <w:gridCol w:w="263"/>
              <w:gridCol w:w="263"/>
            </w:tblGrid>
            <w:tr>
              <w:tc>
                <w:tcPr>
                  <w:tcW w:type="dxa" w:w="2549"/>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标牌宣传品采购清单</w:t>
                  </w: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序号</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物品名称</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参数</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单位</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数量</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备注</w:t>
                  </w: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宣传视频</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医保政策宣传视频</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条</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医保服务站标牌</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金属立体标牌彩色工艺</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块</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100</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3</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宣传布袋</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重磅帆布彩色印制袋子</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只</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2000</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4</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无纺布袋</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重磅无纺布定制袋子</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只</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5000</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宣传三折页</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加厚铜版纸彩色三折页</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份</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6000</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6</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宣传四折页</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加厚铜版纸彩色四折页</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份</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6000</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7</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宣传海报</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加厚铜版纸彩色</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张</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5000</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8</w:t>
                  </w:r>
                </w:p>
              </w:tc>
              <w:tc>
                <w:tcPr>
                  <w:tcW w:type="dxa" w:w="5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医保政策手册</w:t>
                  </w:r>
                </w:p>
              </w:tc>
              <w:tc>
                <w:tcPr>
                  <w:tcW w:type="dxa" w:w="9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color w:val="000000"/>
                    </w:rPr>
                    <w:t>铜版纸胶版纸双面彩色</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本</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color w:val="000000"/>
                    </w:rPr>
                    <w:t>1000</w:t>
                  </w:r>
                </w:p>
              </w:tc>
              <w:tc>
                <w:tcPr>
                  <w:tcW w:type="dxa" w:w="26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标的名称：数据分析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b/>
              </w:rPr>
              <w:t>一、项目背景</w:t>
            </w:r>
          </w:p>
          <w:p>
            <w:pPr>
              <w:pStyle w:val="null3"/>
              <w:ind w:firstLine="640"/>
              <w:jc w:val="both"/>
            </w:pPr>
            <w:r>
              <w:rPr>
                <w:rFonts w:ascii="仿宋_GB2312" w:hAnsi="仿宋_GB2312" w:cs="仿宋_GB2312" w:eastAsia="仿宋_GB2312"/>
              </w:rPr>
              <w:t>西安市雁塔区医疗保障局致力于医保基金的监督管理工作，以确保医保基金的安全、稳定运行，维护广大参保群众的合法权益。</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b/>
              </w:rPr>
              <w:t>二、采购目的</w:t>
            </w:r>
          </w:p>
          <w:p>
            <w:pPr>
              <w:pStyle w:val="null3"/>
              <w:ind w:firstLine="643"/>
              <w:jc w:val="both"/>
            </w:pPr>
            <w:r>
              <w:rPr>
                <w:rFonts w:ascii="仿宋_GB2312" w:hAnsi="仿宋_GB2312" w:cs="仿宋_GB2312" w:eastAsia="仿宋_GB2312"/>
                <w:b/>
              </w:rPr>
              <w:t>大数据分析两定机构基金使用情况：</w:t>
            </w:r>
            <w:r>
              <w:rPr>
                <w:rFonts w:ascii="仿宋_GB2312" w:hAnsi="仿宋_GB2312" w:cs="仿宋_GB2312" w:eastAsia="仿宋_GB2312"/>
              </w:rPr>
              <w:t>通过专业第三方机构，运用大数据分析手段，深入剖析定点医疗机构和定点零售药店的基金使用状况，全面掌握基金流向、使用效率等关键信息，为医保基金的合理调配与科学决策提供数据支撑。</w:t>
            </w:r>
          </w:p>
          <w:p>
            <w:pPr>
              <w:pStyle w:val="null3"/>
              <w:ind w:firstLine="643"/>
              <w:jc w:val="both"/>
            </w:pPr>
            <w:r>
              <w:rPr>
                <w:rFonts w:ascii="仿宋_GB2312" w:hAnsi="仿宋_GB2312" w:cs="仿宋_GB2312" w:eastAsia="仿宋_GB2312"/>
                <w:b/>
              </w:rPr>
              <w:t>大数据分析两定机构违约处理情况：</w:t>
            </w:r>
            <w:r>
              <w:rPr>
                <w:rFonts w:ascii="仿宋_GB2312" w:hAnsi="仿宋_GB2312" w:cs="仿宋_GB2312" w:eastAsia="仿宋_GB2312"/>
              </w:rPr>
              <w:t>借助大数据技术，对两定机构出现的违约行为进行详细分析，包括违约类型、频率、涉及金额等，为完善监管政策、强化违约惩处力度提供有力依据。</w:t>
            </w:r>
          </w:p>
          <w:p>
            <w:pPr>
              <w:pStyle w:val="null3"/>
              <w:ind w:firstLine="643"/>
              <w:jc w:val="both"/>
            </w:pPr>
            <w:r>
              <w:rPr>
                <w:rFonts w:ascii="仿宋_GB2312" w:hAnsi="仿宋_GB2312" w:cs="仿宋_GB2312" w:eastAsia="仿宋_GB2312"/>
                <w:b/>
              </w:rPr>
              <w:t>抽检审核一级及以上医疗机构住院病历：</w:t>
            </w:r>
            <w:r>
              <w:rPr>
                <w:rFonts w:ascii="仿宋_GB2312" w:hAnsi="仿宋_GB2312" w:cs="仿宋_GB2312" w:eastAsia="仿宋_GB2312"/>
              </w:rPr>
              <w:t>按照科学合理的抽样方法，对一级及以上医疗机构的住院病历进行严格抽检审核，核查病历书写的规范性、诊疗项目的合理性、费用结算的准确性等，及时发现并纠正可能存在的医保违规问题。</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643"/>
              <w:jc w:val="both"/>
            </w:pPr>
            <w:r>
              <w:rPr>
                <w:rFonts w:ascii="仿宋_GB2312" w:hAnsi="仿宋_GB2312" w:cs="仿宋_GB2312" w:eastAsia="仿宋_GB2312"/>
                <w:b/>
              </w:rPr>
              <w:t>三、服务要求</w:t>
            </w:r>
          </w:p>
          <w:p>
            <w:pPr>
              <w:pStyle w:val="null3"/>
              <w:ind w:firstLine="643"/>
              <w:jc w:val="both"/>
            </w:pPr>
            <w:r>
              <w:rPr>
                <w:rFonts w:ascii="仿宋_GB2312" w:hAnsi="仿宋_GB2312" w:cs="仿宋_GB2312" w:eastAsia="仿宋_GB2312"/>
                <w:b/>
              </w:rPr>
              <w:t>大数据分析服务：</w:t>
            </w:r>
          </w:p>
          <w:p>
            <w:pPr>
              <w:pStyle w:val="null3"/>
              <w:ind w:firstLine="640"/>
              <w:jc w:val="both"/>
            </w:pPr>
            <w:r>
              <w:rPr>
                <w:rFonts w:ascii="仿宋_GB2312" w:hAnsi="仿宋_GB2312" w:cs="仿宋_GB2312" w:eastAsia="仿宋_GB2312"/>
              </w:rPr>
              <w:t>服务期限：12个月。</w:t>
            </w:r>
          </w:p>
          <w:p>
            <w:pPr>
              <w:pStyle w:val="null3"/>
              <w:ind w:firstLine="640"/>
              <w:jc w:val="both"/>
            </w:pPr>
            <w:r>
              <w:rPr>
                <w:rFonts w:ascii="仿宋_GB2312" w:hAnsi="仿宋_GB2312" w:cs="仿宋_GB2312" w:eastAsia="仿宋_GB2312"/>
              </w:rPr>
              <w:t>服务内容：乙方按照甲方的需求，从我区医保基金运行情况入手，配合总额预算管理工作开展专项分析，为医保基金的合理调配与科学决策提供数据支撑，并形成书面报告（乙方需提供《雁塔区医保基金运行分析报告》1份），每个月提交1份。</w:t>
            </w:r>
          </w:p>
          <w:p>
            <w:pPr>
              <w:pStyle w:val="null3"/>
              <w:ind w:firstLine="640"/>
              <w:jc w:val="both"/>
            </w:pPr>
            <w:r>
              <w:rPr>
                <w:rFonts w:ascii="仿宋_GB2312" w:hAnsi="仿宋_GB2312" w:cs="仿宋_GB2312" w:eastAsia="仿宋_GB2312"/>
              </w:rPr>
              <w:t>供应商资格要求：具备成熟的大数据分析平台和专业的数据分析团队，团队成员应具有丰富的医保领域数据分析经验。能够根据雁塔区医疗保障局提供的数据格式和要求，快速搭建数据分析模型，确保分析结果的准确性和及时性。</w:t>
            </w:r>
          </w:p>
          <w:p>
            <w:pPr>
              <w:pStyle w:val="null3"/>
              <w:ind w:firstLine="643"/>
              <w:jc w:val="both"/>
            </w:pPr>
            <w:r>
              <w:rPr>
                <w:rFonts w:ascii="仿宋_GB2312" w:hAnsi="仿宋_GB2312" w:cs="仿宋_GB2312" w:eastAsia="仿宋_GB2312"/>
                <w:b/>
              </w:rPr>
              <w:t>病历抽检审核服务：</w:t>
            </w:r>
            <w:r>
              <w:rPr>
                <w:rFonts w:ascii="仿宋_GB2312" w:hAnsi="仿宋_GB2312" w:cs="仿宋_GB2312" w:eastAsia="仿宋_GB2312"/>
              </w:rPr>
              <w:t>抽检人员需具备医学、医保相关专业背景，熟悉医保政策和病历书写规范。制定严谨的抽检审核流程和标准，确保抽检工作的公正性和客观性。对抽检发现的问题病历进行详细记录，并及时反馈给医疗机构，协助其进行整改。具体抽检审核住院病历数由雁塔区医疗保障局根据实际工作及检查需要制定具体建设医院及抽检病例份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满足磋商文件及采购人要求。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成交供应商提交项目所有的成果报告后，由采购人和成交供应商共同对项目进行整体验收。其内容包括是否按照采购人要求进行供货、是否在规定时间内供货完毕。 其他事项： 1.验收合格后，填写采购项目验收单作为对本次采购的最终认可。 2.供应商向采购人提供货物过程中的所有资料,以便采购人日后管理。 3.验收依据 3.1采购文件、响应文件、澄清表（函）； 3.2本合同及附件文本；3.3国家相应的标准、规范。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成交供应商提交项目所有的成果报告后，由采购人和成交供应商共同对项目进行整体验收。其内容包括是否按照采购人要求进行服务、是否在规定时间内服务完毕。 其他事项： 1.验收合格后，填写采购项目验收单作为对本次服务的最终认可。 2.供应商向采购人提供服务过程中的所有资料,以便采购人日后管理。 3.验收依据 3.1采购文件、响应文件、澄清表（函）； 3.2本合同及附件文本；3.3国家相应的标准、规范。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2.未按合同要求提供货物或货物质量不能满足技术要求，采购人有权终止合同，并对提供方违约行为进行追究，同时按《中华人民共和国政府采购法》的有关规定进行处罚。 3.双方发生合同争议时，应友好协商解决，不能达成协议时，及时向有关部门要求调解、仲裁或诉讼，发生索赔按现行法律、法规和合同执行。 4.本文件未尽事宜按《中华人民共和国政府采购法》、《中华人民共和国政府采购法实施条例》及有关规定执行。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2.未按合同要求提供服务或服务质量不能满足技术要求，采购人有权终止合同，并对提供方违约行为进行追究，同时按《中华人民共和国政府采购法》的有关规定进行处罚。 3.双方发生合同争议时，应友好协商解决，不能达成协议时，及时向有关部门要求调解、仲裁或诉讼，发生索赔按现行法律、法规和合同执行。 4.本文件未尽事宜按《中华人民共和国政府采购法》、《中华人民共和国政府采购法实施条例》及有关规定执行。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采购文件要求及合同约定执行；事业单位参与投标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2、为顺利推进政府采购电子化交易平台应用工作，供应商需要在线提交所有通过电子化交易平台实施的政府采购项目的响应文件，确定成交后，成交供应商须向代理机构提交纸质版磋商响应文件，正本壹份、副本贰份、电子版壹份（U盘）用于项目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单位，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或2024年度经审计完整的财务审计报告（成立时间至提交响应文件截止时间不足一年的可提供成立后任意时段的资产负债表），或其开标前六个月内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设备和专业技术能力声明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单位，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提供非联合体投标声明。</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 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应满足磋商文件中要求的供货期。</w:t>
            </w:r>
          </w:p>
        </w:tc>
        <w:tc>
          <w:tcPr>
            <w:tcW w:type="dxa" w:w="1661"/>
          </w:tcPr>
          <w:p>
            <w:pPr>
              <w:pStyle w:val="null3"/>
            </w:pPr>
            <w:r>
              <w:rPr>
                <w:rFonts w:ascii="仿宋_GB2312" w:hAnsi="仿宋_GB2312" w:cs="仿宋_GB2312" w:eastAsia="仿宋_GB2312"/>
              </w:rPr>
              <w:t>采购需求偏离表.pdf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应符合“竞争性磋商响应文件格式”要求。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应符合竞争性磋商响应文件要求。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报价唯一，磋商报价符合唯一性要求、响应报价表填写符合要求、报价货币符合磋商文件要求、报价数量与要求符合并未出现漏项、未超出采购预算和磋商文件规定的各分项最高限价； 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 磋商响应文件中项目名称、项目编号与本项目一致； 磋商响应文件至少包括：（1）响应函、（2）响应报价表、（3）供应商资格证明、（4）采购需求偏离表、（5）供应商承诺书。</w:t>
            </w:r>
          </w:p>
        </w:tc>
        <w:tc>
          <w:tcPr>
            <w:tcW w:type="dxa" w:w="1661"/>
          </w:tcPr>
          <w:p>
            <w:pPr>
              <w:pStyle w:val="null3"/>
            </w:pPr>
            <w:r>
              <w:rPr>
                <w:rFonts w:ascii="仿宋_GB2312" w:hAnsi="仿宋_GB2312" w:cs="仿宋_GB2312" w:eastAsia="仿宋_GB2312"/>
              </w:rPr>
              <w:t>采购需求偏离表.pdf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采购需求偏离表.pdf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对磋商文件条款响应</w:t>
            </w:r>
          </w:p>
        </w:tc>
        <w:tc>
          <w:tcPr>
            <w:tcW w:type="dxa" w:w="3322"/>
          </w:tcPr>
          <w:p>
            <w:pPr>
              <w:pStyle w:val="null3"/>
            </w:pPr>
            <w:r>
              <w:rPr>
                <w:rFonts w:ascii="仿宋_GB2312" w:hAnsi="仿宋_GB2312" w:cs="仿宋_GB2312" w:eastAsia="仿宋_GB2312"/>
              </w:rPr>
              <w:t>要求实质性条款全部响应，不能有采购人不能接受的附加条件，未有负偏离且响应的内容未含有采购人不能接受的附加条件。</w:t>
            </w:r>
          </w:p>
        </w:tc>
        <w:tc>
          <w:tcPr>
            <w:tcW w:type="dxa" w:w="1661"/>
          </w:tcPr>
          <w:p>
            <w:pPr>
              <w:pStyle w:val="null3"/>
            </w:pPr>
            <w:r>
              <w:rPr>
                <w:rFonts w:ascii="仿宋_GB2312" w:hAnsi="仿宋_GB2312" w:cs="仿宋_GB2312" w:eastAsia="仿宋_GB2312"/>
              </w:rPr>
              <w:t>采购需求偏离表.pdf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评审内容：1、设计思路和理念；2、设计标准及规范。 评审依据：以上内容切合本项目实际情况及实施要求，内容与要点相符、每个要点均能够描述详细，切实可行符合项目实际内容得8分；评审内容任意一项缺项扣4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制作方案</w:t>
            </w:r>
          </w:p>
        </w:tc>
        <w:tc>
          <w:tcPr>
            <w:tcW w:type="dxa" w:w="2492"/>
          </w:tcPr>
          <w:p>
            <w:pPr>
              <w:pStyle w:val="null3"/>
            </w:pPr>
            <w:r>
              <w:rPr>
                <w:rFonts w:ascii="仿宋_GB2312" w:hAnsi="仿宋_GB2312" w:cs="仿宋_GB2312" w:eastAsia="仿宋_GB2312"/>
              </w:rPr>
              <w:t>评审内容：1、整体制作方案；2、生产工艺及标准；3、产品主材投入情况。 评审依据：以上内容全面详细、阐述条理清晰详尽、符合本项目需求、能有效保障本项目实施的得9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评审内容：1、产品包装、仓储实施方案；2、产品供货组织安排；3、产品运输、派送实施方案。 评审依据：以上内容全面详细、阐述条理清晰详尽、符合本项目需求、能有效保障本项目实施的得9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评审内容：1、重点、难点分析；2、重点、难点解决方案。 评审依据：以上内容描述详细，切实可行符合项目实际内容得6分；内容任意一项缺项扣3分； 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评审内容：1、产品质量保障措施；2、实施节点质量把控方案；3、工作台帐、工作信息收集、客户反馈等质量管理体系建立。 评审依据：内容描述详细，切实可行符合项目实际内容得9分；每有一项缺项扣3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突发应急方案</w:t>
            </w:r>
          </w:p>
        </w:tc>
        <w:tc>
          <w:tcPr>
            <w:tcW w:type="dxa" w:w="2492"/>
          </w:tcPr>
          <w:p>
            <w:pPr>
              <w:pStyle w:val="null3"/>
            </w:pPr>
            <w:r>
              <w:rPr>
                <w:rFonts w:ascii="仿宋_GB2312" w:hAnsi="仿宋_GB2312" w:cs="仿宋_GB2312" w:eastAsia="仿宋_GB2312"/>
              </w:rPr>
              <w:t>评审内容：1、项目紧急需求预案；2、出现突发情况的响应时间、解决时间；3、补救措施。 评审依据：内容全面详细、阐述条理清晰，能有效保障本项目实施得6分；每有一项缺项扣2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团队配备方案</w:t>
            </w:r>
          </w:p>
        </w:tc>
        <w:tc>
          <w:tcPr>
            <w:tcW w:type="dxa" w:w="2492"/>
          </w:tcPr>
          <w:p>
            <w:pPr>
              <w:pStyle w:val="null3"/>
            </w:pPr>
            <w:r>
              <w:rPr>
                <w:rFonts w:ascii="仿宋_GB2312" w:hAnsi="仿宋_GB2312" w:cs="仿宋_GB2312" w:eastAsia="仿宋_GB2312"/>
              </w:rPr>
              <w:t>评审内容：1、组织管理机构设置及人员配置；2、人员安排计划及分配工作情况；3、内控人员管理制度。 评审依据：以上内容全面详细、阐述条理清晰，能有效保障本项目实施得9分；每有一项缺项扣3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评审内容：1、售后服务人员安排；2、服务承诺及响应时间；3、合理化建议。 评审依据：以上内容全面详细、阐述条理清晰，能有效保障本项目实施得6分；每有一项缺项扣2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磋商方案（包1）.pdf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供应商2022年1月1日（以合同签订时间为准）至本项目磋商响应文件递交截止时间止完成过的类似项目业绩，每提供一个得2分，最高得8分。 注：业绩以加盖公章的合同协议书的复印件为准。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磋商方案（包1）.pdf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 且最终报价最低的供应商的价格为磋商基准价，其价格分为满分30分。磋商报价得分=（磋商基准价/最终磋商报价）×30的公式计算得分。 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评审内容：1、对各基金使用政策、数据分级治理、医保基金线索分析平台、文件库管理、规则库管理、数据处理、业务模块等内容的总体分析；2、工作部署合理的保证措施；3、专业能力保障措施。 评审依据：内容全面详细、阐述条理清晰，能有效保障本项目实施得15分；每有一项缺项扣5分；内容有缺陷（缺陷是指：内容不详细具体、条理不清晰、描述过于简单、与项目特点不匹配、凭空编造、出现常识性错误、不可能实现的夸大情形、存在不适用项目实际情况的情形等）扣2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大数据分析平台配置方案</w:t>
            </w:r>
          </w:p>
        </w:tc>
        <w:tc>
          <w:tcPr>
            <w:tcW w:type="dxa" w:w="2492"/>
          </w:tcPr>
          <w:p>
            <w:pPr>
              <w:pStyle w:val="null3"/>
            </w:pPr>
            <w:r>
              <w:rPr>
                <w:rFonts w:ascii="仿宋_GB2312" w:hAnsi="仿宋_GB2312" w:cs="仿宋_GB2312" w:eastAsia="仿宋_GB2312"/>
              </w:rPr>
              <w:t>评审内容：1、平台各项模块的架构设计、搭建配置达到先进、安全实用的要求，确保整体系统性能很好实现的配置方案；2、平台整体的兼容性保障方案。 评审依据：内容全面详细、阐述条理清晰，能有效保障本项目实施得10分；每有一项缺项扣5分；内容有缺陷（缺陷是指：内容不详细具体、条理不清晰、描述过于简单、与项目特点不匹配、凭空编造、出现常识性错误、不可能实现的夸大情形、存在不适用项目实际情况的情形等）扣2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评审内容：1、平台升级、维护、优化、巡检方案；2、运维管理制度；3、故障检测及维修方案。 评审依据：以上内容全面详细、阐述条理清晰详尽、符合本项目需求、能有效保障本项目实施的得9分；评审内容任意一项缺项扣3分；评审内容有缺陷（缺陷是指：内容粗略、逻辑混乱、描述过于简单、与项目特点不匹配、凭空编造、逻辑漏洞、出现常识性错误、套用其他项目方案、存在不可能实现的夸大情形、存在不适用项目实际情况的情形或只有标题没有实质性内容）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评审内容：1、重点、难点分析；2、重点、难点解决方案。 评审依据：以上内容描述详细，切实可行符合项目实际内容得8分；内容任意一项缺项扣4分； 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服务质量及进度保障</w:t>
            </w:r>
          </w:p>
        </w:tc>
        <w:tc>
          <w:tcPr>
            <w:tcW w:type="dxa" w:w="2492"/>
          </w:tcPr>
          <w:p>
            <w:pPr>
              <w:pStyle w:val="null3"/>
            </w:pPr>
            <w:r>
              <w:rPr>
                <w:rFonts w:ascii="仿宋_GB2312" w:hAnsi="仿宋_GB2312" w:cs="仿宋_GB2312" w:eastAsia="仿宋_GB2312"/>
              </w:rPr>
              <w:t>评审内容：1、服务质量保障措施；2、服务进度保障措施；3、工作台帐、工作信息收集、客户反馈等质量管理体系建立。 评审依据：内容描述详细，切实可行符合项目实际内容得9分；每有一项缺项扣3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突发应急方案</w:t>
            </w:r>
          </w:p>
        </w:tc>
        <w:tc>
          <w:tcPr>
            <w:tcW w:type="dxa" w:w="2492"/>
          </w:tcPr>
          <w:p>
            <w:pPr>
              <w:pStyle w:val="null3"/>
            </w:pPr>
            <w:r>
              <w:rPr>
                <w:rFonts w:ascii="仿宋_GB2312" w:hAnsi="仿宋_GB2312" w:cs="仿宋_GB2312" w:eastAsia="仿宋_GB2312"/>
              </w:rPr>
              <w:t xml:space="preserve"> 评审内容：1、项目紧急需求预案；2、出现突发情况的响应时间、解决时间；3、补救措施。 评审依据：内容全面详细、阐述条理清晰，能有效保障本项目实施得9分；每有一项缺项扣3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团队配置方案</w:t>
            </w:r>
          </w:p>
        </w:tc>
        <w:tc>
          <w:tcPr>
            <w:tcW w:type="dxa" w:w="2492"/>
          </w:tcPr>
          <w:p>
            <w:pPr>
              <w:pStyle w:val="null3"/>
            </w:pPr>
            <w:r>
              <w:rPr>
                <w:rFonts w:ascii="仿宋_GB2312" w:hAnsi="仿宋_GB2312" w:cs="仿宋_GB2312" w:eastAsia="仿宋_GB2312"/>
              </w:rPr>
              <w:t>评审内容：1、组织管理机构设置及人员配置；2、人员安排计划及分配工作情况；3、内控人员管理制度。 评审依据：以上内容全面详细、阐述条理清晰，能有效保障本项目实施得12分；每有一项缺项扣4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评审内容：1、售后服务人员安排；2、服务承诺；3、响应时间；4、合理化建议。 评审依据：以上内容全面详细、阐述条理清晰，能有效保障本项目实施得8分；每有一项缺项扣2分；内容有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磋商方案（包2）.pdf</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磋商方案（包2）.pdf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经初审合格的磋商响应文件，其磋商报价为有效磋商报价，并进行价格评审。满足磋商文件实质性要求 且最终报价最低的供应商的价格为磋商基准价，其价格分为满分10分。磋商报价得分=（磋商基准价/最终磋商报价）×10的公式计算得分。 磋商报价不完整的，不进入评标标准价的计算，本项得0分。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详见附件：磋商方案（包1）.pdf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详见附件：采购需求偏离表.pdf</w:t>
      </w:r>
    </w:p>
    <w:p>
      <w:pPr>
        <w:pStyle w:val="null3"/>
        <w:ind w:firstLine="960"/>
      </w:pPr>
      <w:r>
        <w:rPr>
          <w:rFonts w:ascii="仿宋_GB2312" w:hAnsi="仿宋_GB2312" w:cs="仿宋_GB2312" w:eastAsia="仿宋_GB2312"/>
        </w:rPr>
        <w:t>详见附件：磋商方案（包2）.pdf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