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7AF938">
      <w:pPr>
        <w:jc w:val="center"/>
        <w:rPr>
          <w:rFonts w:hint="eastAsia" w:ascii="仿宋" w:hAnsi="仿宋" w:eastAsia="仿宋" w:cs="仿宋"/>
          <w:color w:val="auto"/>
          <w:sz w:val="52"/>
          <w:szCs w:val="52"/>
          <w:highlight w:val="none"/>
        </w:rPr>
      </w:pPr>
      <w:r>
        <w:rPr>
          <w:rFonts w:hint="eastAsia" w:ascii="仿宋" w:hAnsi="仿宋" w:eastAsia="仿宋" w:cs="仿宋"/>
          <w:b/>
          <w:bCs/>
          <w:color w:val="auto"/>
          <w:sz w:val="48"/>
          <w:szCs w:val="48"/>
          <w:highlight w:val="none"/>
          <w:lang w:eastAsia="zh-CN"/>
        </w:rPr>
        <w:t>202</w:t>
      </w:r>
      <w:r>
        <w:rPr>
          <w:rFonts w:hint="eastAsia" w:ascii="仿宋" w:hAnsi="仿宋" w:eastAsia="仿宋" w:cs="仿宋"/>
          <w:b/>
          <w:bCs/>
          <w:color w:val="auto"/>
          <w:sz w:val="48"/>
          <w:szCs w:val="48"/>
          <w:highlight w:val="none"/>
          <w:lang w:val="en-US" w:eastAsia="zh-CN"/>
        </w:rPr>
        <w:t>5-2026年度雁塔区南三环市场化养护服务</w:t>
      </w:r>
      <w:r>
        <w:rPr>
          <w:rFonts w:hint="eastAsia" w:ascii="仿宋" w:hAnsi="仿宋" w:eastAsia="仿宋" w:cs="仿宋"/>
          <w:b/>
          <w:bCs/>
          <w:color w:val="auto"/>
          <w:sz w:val="48"/>
          <w:szCs w:val="48"/>
          <w:highlight w:val="none"/>
          <w:lang w:eastAsia="zh-CN"/>
        </w:rPr>
        <w:t>项目（</w:t>
      </w:r>
      <w:r>
        <w:rPr>
          <w:rFonts w:hint="eastAsia" w:ascii="仿宋" w:hAnsi="仿宋" w:eastAsia="仿宋" w:cs="仿宋"/>
          <w:b/>
          <w:bCs/>
          <w:color w:val="auto"/>
          <w:sz w:val="48"/>
          <w:szCs w:val="48"/>
          <w:highlight w:val="none"/>
          <w:lang w:val="en-US" w:eastAsia="zh-CN"/>
        </w:rPr>
        <w:t>南三环</w:t>
      </w:r>
      <w:r>
        <w:rPr>
          <w:rFonts w:hint="eastAsia" w:ascii="仿宋" w:hAnsi="仿宋" w:eastAsia="仿宋" w:cs="仿宋"/>
          <w:b/>
          <w:bCs/>
          <w:color w:val="auto"/>
          <w:sz w:val="48"/>
          <w:szCs w:val="48"/>
          <w:highlight w:val="none"/>
          <w:lang w:eastAsia="zh-CN"/>
        </w:rPr>
        <w:t>第</w:t>
      </w:r>
      <w:r>
        <w:rPr>
          <w:rFonts w:hint="eastAsia" w:ascii="仿宋" w:hAnsi="仿宋" w:eastAsia="仿宋" w:cs="仿宋"/>
          <w:b/>
          <w:bCs/>
          <w:color w:val="auto"/>
          <w:sz w:val="48"/>
          <w:szCs w:val="48"/>
          <w:highlight w:val="none"/>
          <w:lang w:val="en-US" w:eastAsia="zh-CN"/>
        </w:rPr>
        <w:t xml:space="preserve">  </w:t>
      </w:r>
      <w:r>
        <w:rPr>
          <w:rFonts w:hint="eastAsia" w:ascii="仿宋" w:hAnsi="仿宋" w:eastAsia="仿宋" w:cs="仿宋"/>
          <w:b/>
          <w:bCs/>
          <w:color w:val="auto"/>
          <w:sz w:val="48"/>
          <w:szCs w:val="48"/>
          <w:highlight w:val="none"/>
          <w:lang w:eastAsia="zh-CN"/>
        </w:rPr>
        <w:t>包）</w:t>
      </w:r>
    </w:p>
    <w:p w14:paraId="64E90AAE">
      <w:pPr>
        <w:rPr>
          <w:rFonts w:hint="eastAsia" w:ascii="仿宋" w:hAnsi="仿宋" w:eastAsia="仿宋" w:cs="仿宋"/>
          <w:color w:val="auto"/>
          <w:highlight w:val="none"/>
        </w:rPr>
      </w:pPr>
    </w:p>
    <w:p w14:paraId="421EA2A7">
      <w:pPr>
        <w:jc w:val="center"/>
        <w:rPr>
          <w:rFonts w:hint="eastAsia" w:ascii="仿宋" w:hAnsi="仿宋" w:eastAsia="仿宋" w:cs="仿宋"/>
          <w:color w:val="auto"/>
          <w:sz w:val="52"/>
          <w:szCs w:val="52"/>
          <w:highlight w:val="none"/>
        </w:rPr>
      </w:pPr>
    </w:p>
    <w:p w14:paraId="7EEEFDF7">
      <w:pPr>
        <w:pStyle w:val="2"/>
        <w:rPr>
          <w:rFonts w:hint="eastAsia" w:ascii="仿宋" w:hAnsi="仿宋" w:eastAsia="仿宋" w:cs="仿宋"/>
          <w:color w:val="auto"/>
          <w:sz w:val="52"/>
          <w:szCs w:val="52"/>
          <w:highlight w:val="none"/>
        </w:rPr>
      </w:pPr>
    </w:p>
    <w:p w14:paraId="64166AB5">
      <w:pPr>
        <w:pStyle w:val="2"/>
        <w:jc w:val="center"/>
        <w:rPr>
          <w:rFonts w:hint="eastAsia" w:ascii="仿宋" w:hAnsi="仿宋" w:eastAsia="仿宋" w:cs="仿宋"/>
          <w:color w:val="auto"/>
          <w:sz w:val="52"/>
          <w:szCs w:val="52"/>
          <w:highlight w:val="none"/>
          <w:lang w:val="en-US" w:eastAsia="zh-CN"/>
        </w:rPr>
      </w:pPr>
      <w:r>
        <w:rPr>
          <w:rFonts w:hint="eastAsia" w:ascii="仿宋" w:hAnsi="仿宋" w:eastAsia="仿宋" w:cs="仿宋"/>
          <w:color w:val="auto"/>
          <w:sz w:val="52"/>
          <w:szCs w:val="52"/>
          <w:highlight w:val="none"/>
          <w:lang w:val="en-US" w:eastAsia="zh-CN"/>
        </w:rPr>
        <w:t>服务合同</w:t>
      </w:r>
    </w:p>
    <w:p w14:paraId="79A4D03A">
      <w:pPr>
        <w:pStyle w:val="5"/>
        <w:rPr>
          <w:rFonts w:hint="eastAsia" w:ascii="仿宋" w:hAnsi="仿宋" w:eastAsia="仿宋" w:cs="仿宋"/>
          <w:color w:val="auto"/>
          <w:sz w:val="52"/>
          <w:szCs w:val="52"/>
          <w:highlight w:val="none"/>
        </w:rPr>
      </w:pPr>
    </w:p>
    <w:p w14:paraId="29236D4C">
      <w:pPr>
        <w:rPr>
          <w:rFonts w:hint="eastAsia" w:ascii="仿宋" w:hAnsi="仿宋" w:eastAsia="仿宋" w:cs="仿宋"/>
          <w:color w:val="auto"/>
          <w:sz w:val="52"/>
          <w:szCs w:val="52"/>
          <w:highlight w:val="none"/>
        </w:rPr>
      </w:pPr>
    </w:p>
    <w:p w14:paraId="79221C95">
      <w:pPr>
        <w:pStyle w:val="2"/>
        <w:rPr>
          <w:rFonts w:hint="eastAsia" w:ascii="仿宋" w:hAnsi="仿宋" w:eastAsia="仿宋" w:cs="仿宋"/>
          <w:color w:val="auto"/>
          <w:sz w:val="52"/>
          <w:szCs w:val="52"/>
          <w:highlight w:val="none"/>
        </w:rPr>
      </w:pPr>
    </w:p>
    <w:p w14:paraId="3A439221">
      <w:pPr>
        <w:pStyle w:val="2"/>
        <w:rPr>
          <w:rFonts w:hint="eastAsia" w:ascii="仿宋" w:hAnsi="仿宋" w:eastAsia="仿宋" w:cs="仿宋"/>
          <w:color w:val="auto"/>
          <w:sz w:val="52"/>
          <w:szCs w:val="52"/>
          <w:highlight w:val="none"/>
        </w:rPr>
      </w:pPr>
    </w:p>
    <w:p w14:paraId="1E312CBF">
      <w:pPr>
        <w:pStyle w:val="2"/>
        <w:rPr>
          <w:rFonts w:hint="eastAsia" w:ascii="仿宋" w:hAnsi="仿宋" w:eastAsia="仿宋" w:cs="仿宋"/>
          <w:color w:val="auto"/>
          <w:sz w:val="52"/>
          <w:szCs w:val="52"/>
          <w:highlight w:val="none"/>
        </w:rPr>
      </w:pPr>
    </w:p>
    <w:p w14:paraId="7D344500">
      <w:pPr>
        <w:pStyle w:val="2"/>
        <w:rPr>
          <w:rFonts w:hint="eastAsia" w:ascii="仿宋" w:hAnsi="仿宋" w:eastAsia="仿宋" w:cs="仿宋"/>
          <w:color w:val="auto"/>
          <w:sz w:val="52"/>
          <w:szCs w:val="52"/>
          <w:highlight w:val="none"/>
        </w:rPr>
      </w:pPr>
    </w:p>
    <w:p w14:paraId="49309CAF">
      <w:pPr>
        <w:rPr>
          <w:rFonts w:hint="eastAsia" w:ascii="仿宋" w:hAnsi="仿宋" w:eastAsia="仿宋" w:cs="仿宋"/>
          <w:highlight w:val="none"/>
        </w:rPr>
      </w:pPr>
    </w:p>
    <w:p w14:paraId="50C3EB9B">
      <w:pPr>
        <w:ind w:firstLine="1600" w:firstLineChars="500"/>
        <w:jc w:val="both"/>
        <w:rPr>
          <w:rFonts w:hint="eastAsia" w:ascii="仿宋" w:hAnsi="仿宋" w:eastAsia="仿宋" w:cs="仿宋"/>
          <w:color w:val="auto"/>
          <w:sz w:val="32"/>
          <w:szCs w:val="32"/>
          <w:highlight w:val="none"/>
          <w:u w:val="single"/>
          <w:lang w:val="en-US" w:eastAsia="zh-CN"/>
        </w:rPr>
      </w:pPr>
      <w:r>
        <w:rPr>
          <w:rFonts w:hint="eastAsia" w:ascii="仿宋" w:hAnsi="仿宋" w:eastAsia="仿宋" w:cs="仿宋"/>
          <w:color w:val="auto"/>
          <w:sz w:val="32"/>
          <w:szCs w:val="32"/>
          <w:highlight w:val="none"/>
        </w:rPr>
        <w:t>甲方：</w:t>
      </w:r>
      <w:r>
        <w:rPr>
          <w:rFonts w:hint="eastAsia" w:ascii="仿宋" w:hAnsi="仿宋" w:eastAsia="仿宋" w:cs="仿宋"/>
          <w:color w:val="191F25"/>
          <w:sz w:val="32"/>
          <w:szCs w:val="32"/>
          <w:u w:val="single"/>
          <w:shd w:val="clear" w:color="auto" w:fill="FFFFFF"/>
        </w:rPr>
        <w:t>西安市雁塔区</w:t>
      </w:r>
      <w:r>
        <w:rPr>
          <w:rFonts w:hint="eastAsia" w:ascii="仿宋" w:hAnsi="仿宋" w:eastAsia="仿宋" w:cs="仿宋"/>
          <w:color w:val="191F25"/>
          <w:sz w:val="32"/>
          <w:szCs w:val="32"/>
          <w:u w:val="single"/>
          <w:shd w:val="clear" w:color="auto" w:fill="FFFFFF"/>
          <w:lang w:val="en-US" w:eastAsia="zh-CN"/>
        </w:rPr>
        <w:t>城市管理服务中心</w:t>
      </w:r>
      <w:r>
        <w:rPr>
          <w:rFonts w:hint="eastAsia" w:ascii="仿宋" w:hAnsi="仿宋" w:eastAsia="仿宋" w:cs="仿宋"/>
          <w:color w:val="191F25"/>
          <w:sz w:val="32"/>
          <w:szCs w:val="32"/>
          <w:u w:val="single"/>
          <w:shd w:val="clear" w:color="auto" w:fill="FFFFFF"/>
        </w:rPr>
        <w:t xml:space="preserve"> </w:t>
      </w:r>
    </w:p>
    <w:p w14:paraId="5A957149">
      <w:pPr>
        <w:ind w:firstLine="1600" w:firstLineChars="500"/>
        <w:jc w:val="both"/>
        <w:rPr>
          <w:rFonts w:hint="eastAsia" w:ascii="仿宋" w:hAnsi="仿宋" w:eastAsia="仿宋" w:cs="仿宋"/>
          <w:color w:val="auto"/>
          <w:sz w:val="32"/>
          <w:szCs w:val="32"/>
          <w:highlight w:val="none"/>
          <w:u w:val="single"/>
          <w:lang w:val="en-US" w:eastAsia="zh-CN"/>
        </w:rPr>
      </w:pPr>
      <w:r>
        <w:rPr>
          <w:rFonts w:hint="eastAsia" w:ascii="仿宋" w:hAnsi="仿宋" w:eastAsia="仿宋" w:cs="仿宋"/>
          <w:color w:val="auto"/>
          <w:sz w:val="32"/>
          <w:szCs w:val="32"/>
          <w:highlight w:val="none"/>
        </w:rPr>
        <w:t>乙方：</w:t>
      </w:r>
      <w:r>
        <w:rPr>
          <w:rFonts w:hint="eastAsia" w:ascii="仿宋" w:hAnsi="仿宋" w:eastAsia="仿宋" w:cs="仿宋"/>
          <w:color w:val="191F25"/>
          <w:sz w:val="32"/>
          <w:szCs w:val="32"/>
          <w:highlight w:val="none"/>
          <w:u w:val="single"/>
          <w:shd w:val="clear" w:color="auto" w:fill="FFFFFF"/>
          <w:lang w:val="en-US" w:eastAsia="zh-CN"/>
        </w:rPr>
        <w:t xml:space="preserve">                             </w:t>
      </w:r>
    </w:p>
    <w:p w14:paraId="17848192">
      <w:pPr>
        <w:ind w:firstLine="320" w:firstLineChars="100"/>
        <w:rPr>
          <w:rFonts w:hint="eastAsia" w:ascii="仿宋" w:hAnsi="仿宋" w:eastAsia="仿宋" w:cs="仿宋"/>
          <w:color w:val="auto"/>
          <w:sz w:val="32"/>
          <w:szCs w:val="32"/>
          <w:highlight w:val="none"/>
        </w:rPr>
      </w:pPr>
    </w:p>
    <w:p w14:paraId="137DC06C">
      <w:pPr>
        <w:pStyle w:val="5"/>
        <w:rPr>
          <w:rFonts w:hint="eastAsia" w:ascii="仿宋" w:hAnsi="仿宋" w:eastAsia="仿宋" w:cs="仿宋"/>
          <w:color w:val="auto"/>
          <w:highlight w:val="none"/>
        </w:rPr>
      </w:pPr>
    </w:p>
    <w:p w14:paraId="06534867">
      <w:pPr>
        <w:jc w:val="center"/>
        <w:rPr>
          <w:rFonts w:hint="eastAsia" w:ascii="仿宋" w:hAnsi="仿宋" w:eastAsia="仿宋" w:cs="仿宋"/>
          <w:color w:val="auto"/>
          <w:sz w:val="28"/>
          <w:szCs w:val="28"/>
          <w:highlight w:val="none"/>
        </w:rPr>
      </w:pPr>
      <w:r>
        <w:rPr>
          <w:rFonts w:hint="eastAsia" w:ascii="仿宋" w:hAnsi="仿宋" w:eastAsia="仿宋" w:cs="仿宋"/>
          <w:color w:val="auto"/>
          <w:sz w:val="32"/>
          <w:szCs w:val="32"/>
          <w:highlight w:val="none"/>
        </w:rPr>
        <w:t>签订日期:</w:t>
      </w:r>
      <w:r>
        <w:rPr>
          <w:rFonts w:hint="eastAsia" w:ascii="仿宋" w:hAnsi="仿宋" w:eastAsia="仿宋" w:cs="仿宋"/>
          <w:color w:val="auto"/>
          <w:sz w:val="32"/>
          <w:szCs w:val="32"/>
          <w:highlight w:val="none"/>
          <w:u w:val="single"/>
          <w:lang w:val="en-US" w:eastAsia="zh-CN"/>
        </w:rPr>
        <w:t xml:space="preserve">  2025  </w:t>
      </w:r>
      <w:r>
        <w:rPr>
          <w:rFonts w:hint="eastAsia" w:ascii="仿宋" w:hAnsi="仿宋" w:eastAsia="仿宋" w:cs="仿宋"/>
          <w:color w:val="auto"/>
          <w:sz w:val="32"/>
          <w:szCs w:val="32"/>
          <w:highlight w:val="none"/>
        </w:rPr>
        <w:t>年</w:t>
      </w:r>
      <w:r>
        <w:rPr>
          <w:rFonts w:hint="eastAsia" w:ascii="仿宋" w:hAnsi="仿宋" w:eastAsia="仿宋" w:cs="仿宋"/>
          <w:color w:val="auto"/>
          <w:sz w:val="32"/>
          <w:szCs w:val="32"/>
          <w:highlight w:val="none"/>
          <w:u w:val="single"/>
          <w:lang w:val="en-US" w:eastAsia="zh-CN"/>
        </w:rPr>
        <w:t xml:space="preserve">    </w:t>
      </w:r>
      <w:r>
        <w:rPr>
          <w:rFonts w:hint="eastAsia" w:ascii="仿宋" w:hAnsi="仿宋" w:eastAsia="仿宋" w:cs="仿宋"/>
          <w:color w:val="auto"/>
          <w:sz w:val="32"/>
          <w:szCs w:val="32"/>
          <w:highlight w:val="none"/>
        </w:rPr>
        <w:t>月</w:t>
      </w:r>
      <w:r>
        <w:rPr>
          <w:rFonts w:hint="eastAsia" w:ascii="仿宋" w:hAnsi="仿宋" w:eastAsia="仿宋" w:cs="仿宋"/>
          <w:color w:val="auto"/>
          <w:sz w:val="32"/>
          <w:szCs w:val="32"/>
          <w:highlight w:val="none"/>
          <w:u w:val="single"/>
          <w:lang w:val="en-US" w:eastAsia="zh-CN"/>
        </w:rPr>
        <w:t xml:space="preserve">    </w:t>
      </w:r>
      <w:r>
        <w:rPr>
          <w:rFonts w:hint="eastAsia" w:ascii="仿宋" w:hAnsi="仿宋" w:eastAsia="仿宋" w:cs="仿宋"/>
          <w:color w:val="auto"/>
          <w:sz w:val="32"/>
          <w:szCs w:val="32"/>
          <w:highlight w:val="none"/>
        </w:rPr>
        <w:t>日</w:t>
      </w:r>
    </w:p>
    <w:p w14:paraId="464C8613">
      <w:pPr>
        <w:jc w:val="center"/>
        <w:rPr>
          <w:rFonts w:hint="eastAsia" w:ascii="仿宋" w:hAnsi="仿宋" w:eastAsia="仿宋" w:cs="仿宋"/>
          <w:color w:val="auto"/>
          <w:highlight w:val="none"/>
        </w:rPr>
      </w:pPr>
    </w:p>
    <w:p w14:paraId="67C3EAA6">
      <w:pPr>
        <w:jc w:val="center"/>
        <w:rPr>
          <w:rFonts w:hint="eastAsia" w:ascii="仿宋" w:hAnsi="仿宋" w:eastAsia="仿宋" w:cs="仿宋"/>
          <w:b/>
          <w:bCs/>
          <w:sz w:val="36"/>
          <w:szCs w:val="36"/>
        </w:rPr>
        <w:sectPr>
          <w:headerReference r:id="rId3" w:type="default"/>
          <w:pgSz w:w="11906" w:h="16838"/>
          <w:pgMar w:top="1814" w:right="1474" w:bottom="1588" w:left="1588" w:header="851" w:footer="992" w:gutter="0"/>
          <w:cols w:space="425" w:num="1"/>
          <w:docGrid w:type="lines" w:linePitch="312" w:charSpace="0"/>
        </w:sectPr>
      </w:pPr>
    </w:p>
    <w:p w14:paraId="6E3FF490">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191F25"/>
          <w:sz w:val="32"/>
          <w:szCs w:val="32"/>
          <w:shd w:val="clear" w:color="auto" w:fill="FFFFFF"/>
        </w:rPr>
      </w:pPr>
      <w:r>
        <w:rPr>
          <w:rFonts w:hint="eastAsia" w:ascii="仿宋" w:hAnsi="仿宋" w:eastAsia="仿宋" w:cs="仿宋"/>
          <w:color w:val="191F25"/>
          <w:sz w:val="32"/>
          <w:szCs w:val="32"/>
          <w:shd w:val="clear" w:color="auto" w:fill="FFFFFF"/>
        </w:rPr>
        <w:t>甲方（全称）：</w:t>
      </w:r>
      <w:r>
        <w:rPr>
          <w:rFonts w:hint="eastAsia" w:ascii="仿宋" w:hAnsi="仿宋" w:eastAsia="仿宋" w:cs="仿宋"/>
          <w:color w:val="191F25"/>
          <w:sz w:val="32"/>
          <w:szCs w:val="32"/>
          <w:u w:val="single"/>
          <w:shd w:val="clear" w:color="auto" w:fill="FFFFFF"/>
        </w:rPr>
        <w:t xml:space="preserve">   西安市雁塔区城市管理服务中心      </w:t>
      </w:r>
    </w:p>
    <w:p w14:paraId="20B548F2">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191F25"/>
          <w:sz w:val="32"/>
          <w:szCs w:val="32"/>
          <w:u w:val="single"/>
          <w:shd w:val="clear" w:color="auto" w:fill="FFFFFF"/>
        </w:rPr>
      </w:pPr>
      <w:r>
        <w:rPr>
          <w:rFonts w:hint="eastAsia" w:ascii="仿宋" w:hAnsi="仿宋" w:eastAsia="仿宋" w:cs="仿宋"/>
          <w:color w:val="191F25"/>
          <w:sz w:val="32"/>
          <w:szCs w:val="32"/>
          <w:shd w:val="clear" w:color="auto" w:fill="FFFFFF"/>
        </w:rPr>
        <w:t>乙方（全称）：</w:t>
      </w:r>
      <w:r>
        <w:rPr>
          <w:rFonts w:hint="eastAsia" w:ascii="仿宋" w:hAnsi="仿宋" w:eastAsia="仿宋" w:cs="仿宋"/>
          <w:color w:val="191F25"/>
          <w:sz w:val="32"/>
          <w:szCs w:val="32"/>
          <w:u w:val="single"/>
          <w:shd w:val="clear" w:color="auto" w:fill="FFFFFF"/>
        </w:rPr>
        <w:t xml:space="preserve">   </w:t>
      </w:r>
      <w:r>
        <w:rPr>
          <w:rFonts w:hint="eastAsia" w:ascii="仿宋" w:hAnsi="仿宋" w:eastAsia="仿宋" w:cs="仿宋"/>
          <w:color w:val="191F25"/>
          <w:sz w:val="32"/>
          <w:szCs w:val="32"/>
          <w:u w:val="single"/>
          <w:shd w:val="clear" w:color="auto" w:fill="FFFFFF"/>
          <w:lang w:val="en-US" w:eastAsia="zh-CN"/>
        </w:rPr>
        <w:t xml:space="preserve">                               </w:t>
      </w:r>
      <w:r>
        <w:rPr>
          <w:rFonts w:hint="eastAsia" w:ascii="仿宋" w:hAnsi="仿宋" w:eastAsia="仿宋" w:cs="仿宋"/>
          <w:color w:val="191F25"/>
          <w:sz w:val="32"/>
          <w:szCs w:val="32"/>
          <w:u w:val="single"/>
          <w:shd w:val="clear" w:color="auto" w:fill="FFFFFF"/>
        </w:rPr>
        <w:t xml:space="preserve">   </w:t>
      </w:r>
    </w:p>
    <w:p w14:paraId="51EF9DCF">
      <w:pPr>
        <w:keepNext w:val="0"/>
        <w:keepLines w:val="0"/>
        <w:pageBreakBefore w:val="0"/>
        <w:kinsoku/>
        <w:overflowPunct/>
        <w:topLinePunct w:val="0"/>
        <w:autoSpaceDE/>
        <w:autoSpaceDN/>
        <w:bidi w:val="0"/>
        <w:adjustRightInd w:val="0"/>
        <w:snapToGrid w:val="0"/>
        <w:spacing w:line="560" w:lineRule="exact"/>
        <w:ind w:firstLine="640" w:firstLineChars="200"/>
        <w:jc w:val="center"/>
        <w:textAlignment w:val="auto"/>
        <w:rPr>
          <w:rFonts w:hint="eastAsia" w:ascii="仿宋" w:hAnsi="仿宋" w:eastAsia="仿宋" w:cs="仿宋"/>
          <w:sz w:val="32"/>
          <w:szCs w:val="32"/>
          <w:highlight w:val="none"/>
        </w:rPr>
      </w:pPr>
      <w:r>
        <w:rPr>
          <w:rFonts w:hint="eastAsia" w:ascii="仿宋" w:hAnsi="仿宋" w:eastAsia="仿宋" w:cs="仿宋"/>
          <w:sz w:val="32"/>
          <w:szCs w:val="32"/>
        </w:rPr>
        <w:t>根据《中华人民共和国政府采购法》及实施条例、《中华人民共和国</w:t>
      </w:r>
      <w:r>
        <w:rPr>
          <w:rFonts w:hint="eastAsia" w:ascii="仿宋" w:hAnsi="仿宋" w:eastAsia="仿宋" w:cs="仿宋"/>
          <w:sz w:val="32"/>
          <w:szCs w:val="32"/>
          <w:lang w:val="en-US" w:eastAsia="zh-CN"/>
        </w:rPr>
        <w:t>民法典</w:t>
      </w:r>
      <w:r>
        <w:rPr>
          <w:rFonts w:hint="eastAsia" w:ascii="仿宋" w:hAnsi="仿宋" w:eastAsia="仿宋" w:cs="仿宋"/>
          <w:sz w:val="32"/>
          <w:szCs w:val="32"/>
        </w:rPr>
        <w:t>》和</w:t>
      </w:r>
      <w:r>
        <w:rPr>
          <w:rFonts w:hint="eastAsia" w:ascii="仿宋" w:hAnsi="仿宋" w:eastAsia="仿宋" w:cs="仿宋"/>
          <w:color w:val="auto"/>
          <w:sz w:val="32"/>
          <w:szCs w:val="32"/>
          <w:u w:val="none"/>
        </w:rPr>
        <w:t>甲方</w:t>
      </w:r>
      <w:r>
        <w:rPr>
          <w:rFonts w:hint="eastAsia" w:ascii="仿宋" w:hAnsi="仿宋" w:eastAsia="仿宋" w:cs="仿宋"/>
          <w:color w:val="auto"/>
          <w:sz w:val="32"/>
          <w:szCs w:val="32"/>
          <w:u w:val="none"/>
          <w:shd w:val="clear" w:color="auto" w:fill="FFFFFF"/>
        </w:rPr>
        <w:t>西安市雁塔区城市管理服务中心</w:t>
      </w:r>
      <w:r>
        <w:rPr>
          <w:rFonts w:hint="eastAsia" w:ascii="仿宋" w:hAnsi="仿宋" w:eastAsia="仿宋" w:cs="仿宋"/>
          <w:b w:val="0"/>
          <w:bCs w:val="0"/>
          <w:color w:val="auto"/>
          <w:sz w:val="32"/>
          <w:szCs w:val="32"/>
          <w:highlight w:val="none"/>
          <w:u w:val="none"/>
          <w:lang w:eastAsia="zh-CN"/>
        </w:rPr>
        <w:t>202</w:t>
      </w:r>
      <w:r>
        <w:rPr>
          <w:rFonts w:hint="eastAsia" w:ascii="仿宋" w:hAnsi="仿宋" w:eastAsia="仿宋" w:cs="仿宋"/>
          <w:b w:val="0"/>
          <w:bCs w:val="0"/>
          <w:color w:val="auto"/>
          <w:sz w:val="32"/>
          <w:szCs w:val="32"/>
          <w:highlight w:val="none"/>
          <w:u w:val="none"/>
          <w:lang w:val="en-US" w:eastAsia="zh-CN"/>
        </w:rPr>
        <w:t>5-2026年度雁塔区南三环市场化养护服务</w:t>
      </w:r>
      <w:r>
        <w:rPr>
          <w:rFonts w:hint="eastAsia" w:ascii="仿宋" w:hAnsi="仿宋" w:eastAsia="仿宋" w:cs="仿宋"/>
          <w:b w:val="0"/>
          <w:bCs w:val="0"/>
          <w:color w:val="auto"/>
          <w:sz w:val="32"/>
          <w:szCs w:val="32"/>
          <w:highlight w:val="none"/>
          <w:u w:val="none"/>
          <w:lang w:eastAsia="zh-CN"/>
        </w:rPr>
        <w:t>项目（</w:t>
      </w:r>
      <w:r>
        <w:rPr>
          <w:rFonts w:hint="eastAsia" w:ascii="仿宋" w:hAnsi="仿宋" w:eastAsia="仿宋" w:cs="仿宋"/>
          <w:b w:val="0"/>
          <w:bCs w:val="0"/>
          <w:color w:val="auto"/>
          <w:sz w:val="32"/>
          <w:szCs w:val="32"/>
          <w:highlight w:val="none"/>
          <w:u w:val="none"/>
          <w:lang w:val="en-US" w:eastAsia="zh-CN"/>
        </w:rPr>
        <w:t>南三环</w:t>
      </w:r>
      <w:r>
        <w:rPr>
          <w:rFonts w:hint="eastAsia" w:ascii="仿宋" w:hAnsi="仿宋" w:eastAsia="仿宋" w:cs="仿宋"/>
          <w:b w:val="0"/>
          <w:bCs w:val="0"/>
          <w:color w:val="auto"/>
          <w:sz w:val="32"/>
          <w:szCs w:val="32"/>
          <w:highlight w:val="none"/>
          <w:u w:val="none"/>
          <w:lang w:eastAsia="zh-CN"/>
        </w:rPr>
        <w:t>第</w:t>
      </w:r>
      <w:r>
        <w:rPr>
          <w:rFonts w:hint="eastAsia" w:ascii="仿宋" w:hAnsi="仿宋" w:eastAsia="仿宋" w:cs="仿宋"/>
          <w:b w:val="0"/>
          <w:bCs w:val="0"/>
          <w:color w:val="auto"/>
          <w:sz w:val="32"/>
          <w:szCs w:val="32"/>
          <w:highlight w:val="none"/>
          <w:u w:val="none"/>
          <w:lang w:val="en-US" w:eastAsia="zh-CN"/>
        </w:rPr>
        <w:t xml:space="preserve">  </w:t>
      </w:r>
      <w:r>
        <w:rPr>
          <w:rFonts w:hint="eastAsia" w:ascii="仿宋" w:hAnsi="仿宋" w:eastAsia="仿宋" w:cs="仿宋"/>
          <w:b w:val="0"/>
          <w:bCs w:val="0"/>
          <w:color w:val="auto"/>
          <w:sz w:val="32"/>
          <w:szCs w:val="32"/>
          <w:highlight w:val="none"/>
          <w:u w:val="none"/>
          <w:lang w:eastAsia="zh-CN"/>
        </w:rPr>
        <w:t>包）</w:t>
      </w:r>
      <w:r>
        <w:rPr>
          <w:rFonts w:hint="eastAsia" w:ascii="仿宋" w:hAnsi="仿宋" w:eastAsia="仿宋" w:cs="仿宋"/>
          <w:color w:val="auto"/>
          <w:sz w:val="32"/>
          <w:szCs w:val="32"/>
          <w:highlight w:val="none"/>
          <w:u w:val="none"/>
        </w:rPr>
        <w:t>（项目编号：</w:t>
      </w:r>
      <w:r>
        <w:rPr>
          <w:rFonts w:hint="eastAsia" w:ascii="仿宋" w:hAnsi="仿宋" w:eastAsia="仿宋" w:cs="仿宋"/>
          <w:color w:val="auto"/>
          <w:sz w:val="32"/>
          <w:szCs w:val="32"/>
          <w:highlight w:val="none"/>
          <w:u w:val="none"/>
          <w:lang w:val="en-US" w:eastAsia="zh-CN"/>
        </w:rPr>
        <w:t xml:space="preserve">             </w:t>
      </w:r>
      <w:r>
        <w:rPr>
          <w:rFonts w:hint="eastAsia" w:ascii="仿宋" w:hAnsi="仿宋" w:eastAsia="仿宋" w:cs="仿宋"/>
          <w:color w:val="auto"/>
          <w:sz w:val="32"/>
          <w:szCs w:val="32"/>
          <w:highlight w:val="none"/>
          <w:u w:val="none"/>
        </w:rPr>
        <w:t>）的招标文件、</w:t>
      </w:r>
      <w:r>
        <w:rPr>
          <w:rFonts w:hint="eastAsia" w:ascii="仿宋" w:hAnsi="仿宋" w:eastAsia="仿宋" w:cs="仿宋"/>
          <w:sz w:val="32"/>
          <w:szCs w:val="32"/>
          <w:highlight w:val="none"/>
        </w:rPr>
        <w:t>投标文件等有关规定，甲方将</w:t>
      </w:r>
      <w:r>
        <w:rPr>
          <w:rFonts w:hint="eastAsia" w:ascii="仿宋" w:hAnsi="仿宋" w:eastAsia="仿宋" w:cs="仿宋"/>
          <w:sz w:val="32"/>
          <w:szCs w:val="32"/>
          <w:highlight w:val="none"/>
          <w:u w:val="single"/>
          <w:lang w:val="en-US" w:eastAsia="zh-CN"/>
        </w:rPr>
        <w:t>第（ ）包</w:t>
      </w:r>
      <w:r>
        <w:rPr>
          <w:rFonts w:hint="eastAsia" w:ascii="仿宋" w:hAnsi="仿宋" w:eastAsia="仿宋" w:cs="仿宋"/>
          <w:sz w:val="32"/>
          <w:szCs w:val="32"/>
          <w:highlight w:val="none"/>
        </w:rPr>
        <w:t>委托乙方承包养护，双方本着平等、互利、合作的原则协商达成如下合同条款。</w:t>
      </w:r>
    </w:p>
    <w:p w14:paraId="5CEBE6CA">
      <w:pPr>
        <w:pStyle w:val="14"/>
        <w:keepNext w:val="0"/>
        <w:keepLines w:val="0"/>
        <w:pageBreakBefore w:val="0"/>
        <w:kinsoku/>
        <w:overflowPunct/>
        <w:topLinePunct w:val="0"/>
        <w:autoSpaceDE/>
        <w:autoSpaceDN/>
        <w:bidi w:val="0"/>
        <w:adjustRightInd w:val="0"/>
        <w:snapToGrid w:val="0"/>
        <w:spacing w:line="560" w:lineRule="exact"/>
        <w:ind w:firstLine="630" w:firstLineChars="196"/>
        <w:textAlignment w:val="auto"/>
        <w:outlineLvl w:val="1"/>
        <w:rPr>
          <w:rFonts w:hint="eastAsia" w:ascii="仿宋" w:hAnsi="仿宋" w:eastAsia="仿宋" w:cs="仿宋"/>
          <w:b/>
          <w:bCs/>
          <w:sz w:val="32"/>
          <w:szCs w:val="32"/>
        </w:rPr>
      </w:pPr>
      <w:r>
        <w:rPr>
          <w:rFonts w:hint="eastAsia" w:ascii="仿宋" w:hAnsi="仿宋" w:eastAsia="仿宋" w:cs="仿宋"/>
          <w:b/>
          <w:bCs/>
          <w:sz w:val="32"/>
          <w:szCs w:val="32"/>
          <w:lang w:val="en-US" w:eastAsia="zh-CN"/>
        </w:rPr>
        <w:t xml:space="preserve">第一条  </w:t>
      </w:r>
      <w:r>
        <w:rPr>
          <w:rFonts w:hint="eastAsia" w:ascii="仿宋" w:hAnsi="仿宋" w:eastAsia="仿宋" w:cs="仿宋"/>
          <w:b/>
          <w:bCs/>
          <w:sz w:val="32"/>
          <w:szCs w:val="32"/>
        </w:rPr>
        <w:t>组成合同的文件</w:t>
      </w:r>
    </w:p>
    <w:p w14:paraId="478AEE63">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rPr>
        <w:t>组成本合同的文件包括：</w:t>
      </w:r>
    </w:p>
    <w:p w14:paraId="4D5D5D31">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rPr>
        <w:t>1、本合同协议书</w:t>
      </w:r>
    </w:p>
    <w:p w14:paraId="4E1914F9">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val="en-US" w:eastAsia="zh-CN"/>
        </w:rPr>
        <w:t>2</w:t>
      </w:r>
      <w:r>
        <w:rPr>
          <w:rFonts w:hint="eastAsia" w:ascii="仿宋" w:hAnsi="仿宋" w:eastAsia="仿宋" w:cs="仿宋"/>
          <w:b w:val="0"/>
          <w:bCs w:val="0"/>
          <w:sz w:val="32"/>
          <w:szCs w:val="32"/>
        </w:rPr>
        <w:t>、中标通知书</w:t>
      </w:r>
    </w:p>
    <w:p w14:paraId="01F9322A">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val="en-US" w:eastAsia="zh-CN"/>
        </w:rPr>
        <w:t>3</w:t>
      </w:r>
      <w:r>
        <w:rPr>
          <w:rFonts w:hint="eastAsia" w:ascii="仿宋" w:hAnsi="仿宋" w:eastAsia="仿宋" w:cs="仿宋"/>
          <w:b w:val="0"/>
          <w:bCs w:val="0"/>
          <w:sz w:val="32"/>
          <w:szCs w:val="32"/>
        </w:rPr>
        <w:t>、投标书、</w:t>
      </w:r>
      <w:r>
        <w:rPr>
          <w:rFonts w:hint="eastAsia" w:ascii="仿宋" w:hAnsi="仿宋" w:eastAsia="仿宋" w:cs="仿宋"/>
          <w:b w:val="0"/>
          <w:bCs w:val="0"/>
          <w:sz w:val="32"/>
          <w:szCs w:val="32"/>
          <w:lang w:val="en-US" w:eastAsia="zh-CN"/>
        </w:rPr>
        <w:t>项目</w:t>
      </w:r>
      <w:r>
        <w:rPr>
          <w:rFonts w:hint="eastAsia" w:ascii="仿宋" w:hAnsi="仿宋" w:eastAsia="仿宋" w:cs="仿宋"/>
          <w:b w:val="0"/>
          <w:bCs w:val="0"/>
          <w:sz w:val="32"/>
          <w:szCs w:val="32"/>
        </w:rPr>
        <w:t>报价单或预算书及其附件</w:t>
      </w:r>
    </w:p>
    <w:p w14:paraId="66612EED">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val="en-US" w:eastAsia="zh-CN"/>
        </w:rPr>
        <w:t>4</w:t>
      </w:r>
      <w:r>
        <w:rPr>
          <w:rFonts w:hint="eastAsia" w:ascii="仿宋" w:hAnsi="仿宋" w:eastAsia="仿宋" w:cs="仿宋"/>
          <w:b w:val="0"/>
          <w:bCs w:val="0"/>
          <w:sz w:val="32"/>
          <w:szCs w:val="32"/>
        </w:rPr>
        <w:t>、招标文件、</w:t>
      </w:r>
      <w:r>
        <w:rPr>
          <w:rFonts w:hint="eastAsia" w:ascii="仿宋" w:hAnsi="仿宋" w:eastAsia="仿宋" w:cs="仿宋"/>
          <w:b w:val="0"/>
          <w:bCs w:val="0"/>
          <w:sz w:val="32"/>
          <w:szCs w:val="32"/>
          <w:lang w:val="en-US" w:eastAsia="zh-CN"/>
        </w:rPr>
        <w:t>养护</w:t>
      </w:r>
      <w:r>
        <w:rPr>
          <w:rFonts w:hint="eastAsia" w:ascii="仿宋" w:hAnsi="仿宋" w:eastAsia="仿宋" w:cs="仿宋"/>
          <w:b w:val="0"/>
          <w:bCs w:val="0"/>
          <w:sz w:val="32"/>
          <w:szCs w:val="32"/>
        </w:rPr>
        <w:t>清单</w:t>
      </w:r>
    </w:p>
    <w:p w14:paraId="2FFC06CF">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val="en-US" w:eastAsia="zh-CN"/>
        </w:rPr>
        <w:t>5</w:t>
      </w:r>
      <w:r>
        <w:rPr>
          <w:rFonts w:hint="eastAsia" w:ascii="仿宋" w:hAnsi="仿宋" w:eastAsia="仿宋" w:cs="仿宋"/>
          <w:b w:val="0"/>
          <w:bCs w:val="0"/>
          <w:sz w:val="32"/>
          <w:szCs w:val="32"/>
        </w:rPr>
        <w:t>、标准、规范及有关技术文件</w:t>
      </w:r>
    </w:p>
    <w:p w14:paraId="2C06A2E6">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rPr>
        <w:t>双方为履行本合同的有关洽商、变更等书面协议、文件，视为本合同的组成部分。</w:t>
      </w:r>
    </w:p>
    <w:p w14:paraId="7DBEBB19">
      <w:pPr>
        <w:pStyle w:val="14"/>
        <w:keepNext w:val="0"/>
        <w:keepLines w:val="0"/>
        <w:pageBreakBefore w:val="0"/>
        <w:kinsoku/>
        <w:overflowPunct/>
        <w:topLinePunct w:val="0"/>
        <w:autoSpaceDE/>
        <w:autoSpaceDN/>
        <w:bidi w:val="0"/>
        <w:adjustRightInd w:val="0"/>
        <w:snapToGrid w:val="0"/>
        <w:spacing w:line="560" w:lineRule="exact"/>
        <w:ind w:firstLine="630" w:firstLineChars="196"/>
        <w:textAlignment w:val="auto"/>
        <w:outlineLvl w:val="1"/>
        <w:rPr>
          <w:rFonts w:hint="eastAsia" w:ascii="仿宋" w:hAnsi="仿宋" w:eastAsia="仿宋" w:cs="仿宋"/>
          <w:b/>
          <w:bCs/>
          <w:sz w:val="32"/>
          <w:szCs w:val="32"/>
          <w:lang w:val="en-US" w:eastAsia="zh-CN"/>
        </w:rPr>
      </w:pPr>
      <w:r>
        <w:rPr>
          <w:rFonts w:hint="eastAsia" w:ascii="仿宋" w:hAnsi="仿宋" w:eastAsia="仿宋" w:cs="仿宋"/>
          <w:b/>
          <w:bCs/>
          <w:sz w:val="32"/>
          <w:szCs w:val="32"/>
        </w:rPr>
        <w:t>第</w:t>
      </w:r>
      <w:r>
        <w:rPr>
          <w:rFonts w:hint="eastAsia" w:ascii="仿宋" w:hAnsi="仿宋" w:eastAsia="仿宋" w:cs="仿宋"/>
          <w:b/>
          <w:bCs/>
          <w:sz w:val="32"/>
          <w:szCs w:val="32"/>
          <w:lang w:val="en-US" w:eastAsia="zh-CN"/>
        </w:rPr>
        <w:t>二</w:t>
      </w:r>
      <w:r>
        <w:rPr>
          <w:rFonts w:hint="eastAsia" w:ascii="仿宋" w:hAnsi="仿宋" w:eastAsia="仿宋" w:cs="仿宋"/>
          <w:b/>
          <w:bCs/>
          <w:sz w:val="32"/>
          <w:szCs w:val="32"/>
        </w:rPr>
        <w:t xml:space="preserve">条  </w:t>
      </w:r>
      <w:r>
        <w:rPr>
          <w:rFonts w:hint="eastAsia" w:ascii="仿宋" w:hAnsi="仿宋" w:eastAsia="仿宋" w:cs="仿宋"/>
          <w:b/>
          <w:bCs/>
          <w:sz w:val="32"/>
          <w:szCs w:val="32"/>
          <w:lang w:val="en-US" w:eastAsia="zh-CN"/>
        </w:rPr>
        <w:t>基本信息</w:t>
      </w:r>
    </w:p>
    <w:p w14:paraId="70E0C17A">
      <w:pPr>
        <w:pStyle w:val="14"/>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highlight w:val="none"/>
        </w:rPr>
      </w:pPr>
      <w:r>
        <w:rPr>
          <w:rFonts w:hint="eastAsia" w:ascii="仿宋" w:hAnsi="仿宋" w:eastAsia="仿宋" w:cs="仿宋"/>
          <w:sz w:val="32"/>
          <w:szCs w:val="32"/>
          <w:highlight w:val="none"/>
        </w:rPr>
        <w:t>1、甲方将</w:t>
      </w:r>
      <w:r>
        <w:rPr>
          <w:rFonts w:hint="eastAsia" w:ascii="仿宋" w:hAnsi="仿宋" w:eastAsia="仿宋" w:cs="仿宋"/>
          <w:color w:val="auto"/>
          <w:sz w:val="32"/>
          <w:szCs w:val="32"/>
          <w:highlight w:val="none"/>
          <w:u w:val="none"/>
          <w:shd w:val="clear" w:color="auto" w:fill="FFFFFF"/>
        </w:rPr>
        <w:t>西安市雁塔区城市管理服务中心</w:t>
      </w:r>
      <w:r>
        <w:rPr>
          <w:rFonts w:hint="eastAsia" w:ascii="仿宋" w:hAnsi="仿宋" w:eastAsia="仿宋" w:cs="仿宋"/>
          <w:b w:val="0"/>
          <w:bCs w:val="0"/>
          <w:color w:val="auto"/>
          <w:sz w:val="32"/>
          <w:szCs w:val="32"/>
          <w:u w:val="none"/>
          <w:lang w:eastAsia="zh-CN"/>
        </w:rPr>
        <w:t>202</w:t>
      </w:r>
      <w:r>
        <w:rPr>
          <w:rFonts w:hint="eastAsia" w:ascii="仿宋" w:hAnsi="仿宋" w:eastAsia="仿宋" w:cs="仿宋"/>
          <w:b w:val="0"/>
          <w:bCs w:val="0"/>
          <w:color w:val="auto"/>
          <w:sz w:val="32"/>
          <w:szCs w:val="32"/>
          <w:u w:val="none"/>
          <w:lang w:val="en-US" w:eastAsia="zh-CN"/>
        </w:rPr>
        <w:t>5-2026年度雁塔区南三环市场化养护服务</w:t>
      </w:r>
      <w:r>
        <w:rPr>
          <w:rFonts w:hint="eastAsia" w:ascii="仿宋" w:hAnsi="仿宋" w:eastAsia="仿宋" w:cs="仿宋"/>
          <w:b w:val="0"/>
          <w:bCs w:val="0"/>
          <w:color w:val="auto"/>
          <w:sz w:val="32"/>
          <w:szCs w:val="32"/>
          <w:u w:val="none"/>
          <w:lang w:eastAsia="zh-CN"/>
        </w:rPr>
        <w:t>项目（</w:t>
      </w:r>
      <w:r>
        <w:rPr>
          <w:rFonts w:hint="eastAsia" w:ascii="仿宋" w:hAnsi="仿宋" w:eastAsia="仿宋" w:cs="仿宋"/>
          <w:b w:val="0"/>
          <w:bCs w:val="0"/>
          <w:color w:val="auto"/>
          <w:sz w:val="32"/>
          <w:szCs w:val="32"/>
          <w:u w:val="none"/>
          <w:lang w:val="en-US" w:eastAsia="zh-CN"/>
        </w:rPr>
        <w:t>南三环</w:t>
      </w:r>
      <w:r>
        <w:rPr>
          <w:rFonts w:hint="eastAsia" w:ascii="仿宋" w:hAnsi="仿宋" w:eastAsia="仿宋" w:cs="仿宋"/>
          <w:b w:val="0"/>
          <w:bCs w:val="0"/>
          <w:color w:val="auto"/>
          <w:sz w:val="32"/>
          <w:szCs w:val="32"/>
          <w:u w:val="none"/>
          <w:lang w:eastAsia="zh-CN"/>
        </w:rPr>
        <w:t>第</w:t>
      </w:r>
      <w:r>
        <w:rPr>
          <w:rFonts w:hint="eastAsia" w:ascii="仿宋" w:hAnsi="仿宋" w:eastAsia="仿宋" w:cs="仿宋"/>
          <w:b w:val="0"/>
          <w:bCs w:val="0"/>
          <w:color w:val="auto"/>
          <w:sz w:val="32"/>
          <w:szCs w:val="32"/>
          <w:u w:val="none"/>
          <w:lang w:val="en-US" w:eastAsia="zh-CN"/>
        </w:rPr>
        <w:t xml:space="preserve">  </w:t>
      </w:r>
      <w:r>
        <w:rPr>
          <w:rFonts w:hint="eastAsia" w:ascii="仿宋" w:hAnsi="仿宋" w:eastAsia="仿宋" w:cs="仿宋"/>
          <w:b w:val="0"/>
          <w:bCs w:val="0"/>
          <w:color w:val="auto"/>
          <w:sz w:val="32"/>
          <w:szCs w:val="32"/>
          <w:u w:val="none"/>
          <w:lang w:eastAsia="zh-CN"/>
        </w:rPr>
        <w:t>包）</w:t>
      </w:r>
      <w:r>
        <w:rPr>
          <w:rFonts w:hint="eastAsia" w:ascii="仿宋" w:hAnsi="仿宋" w:eastAsia="仿宋" w:cs="仿宋"/>
          <w:color w:val="auto"/>
          <w:sz w:val="32"/>
          <w:szCs w:val="32"/>
          <w:highlight w:val="none"/>
          <w:u w:val="none"/>
        </w:rPr>
        <w:t>（项目编号：</w:t>
      </w:r>
      <w:r>
        <w:rPr>
          <w:rFonts w:hint="eastAsia" w:ascii="仿宋" w:hAnsi="仿宋" w:eastAsia="仿宋" w:cs="仿宋"/>
          <w:color w:val="auto"/>
          <w:sz w:val="32"/>
          <w:szCs w:val="32"/>
          <w:highlight w:val="none"/>
          <w:u w:val="none"/>
          <w:lang w:val="en-US" w:eastAsia="zh-CN"/>
        </w:rPr>
        <w:t xml:space="preserve">         </w:t>
      </w:r>
      <w:r>
        <w:rPr>
          <w:rFonts w:hint="eastAsia" w:ascii="仿宋" w:hAnsi="仿宋" w:eastAsia="仿宋" w:cs="仿宋"/>
          <w:color w:val="auto"/>
          <w:sz w:val="32"/>
          <w:szCs w:val="32"/>
          <w:highlight w:val="none"/>
          <w:u w:val="none"/>
        </w:rPr>
        <w:t>）</w:t>
      </w:r>
      <w:r>
        <w:rPr>
          <w:rFonts w:hint="eastAsia" w:ascii="仿宋" w:hAnsi="仿宋" w:eastAsia="仿宋" w:cs="仿宋"/>
          <w:sz w:val="32"/>
          <w:szCs w:val="32"/>
          <w:highlight w:val="none"/>
          <w:u w:val="single"/>
          <w:lang w:val="en-US" w:eastAsia="zh-CN"/>
        </w:rPr>
        <w:t>第（  ）包</w:t>
      </w:r>
      <w:r>
        <w:rPr>
          <w:rFonts w:hint="eastAsia" w:ascii="仿宋" w:hAnsi="仿宋" w:eastAsia="仿宋" w:cs="仿宋"/>
          <w:sz w:val="32"/>
          <w:szCs w:val="32"/>
          <w:highlight w:val="none"/>
        </w:rPr>
        <w:t>项目委托乙方养护</w:t>
      </w:r>
      <w:r>
        <w:rPr>
          <w:rFonts w:hint="eastAsia" w:ascii="仿宋" w:hAnsi="仿宋" w:eastAsia="仿宋" w:cs="仿宋"/>
          <w:sz w:val="32"/>
          <w:szCs w:val="32"/>
          <w:highlight w:val="none"/>
          <w:lang w:val="en-US" w:eastAsia="zh-CN"/>
        </w:rPr>
        <w:t>管理</w:t>
      </w:r>
      <w:r>
        <w:rPr>
          <w:rFonts w:hint="eastAsia" w:ascii="仿宋" w:hAnsi="仿宋" w:eastAsia="仿宋" w:cs="仿宋"/>
          <w:sz w:val="32"/>
          <w:szCs w:val="32"/>
          <w:highlight w:val="none"/>
        </w:rPr>
        <w:t>，绿地面积共</w:t>
      </w:r>
      <w:r>
        <w:rPr>
          <w:rFonts w:hint="eastAsia" w:ascii="仿宋" w:hAnsi="仿宋" w:eastAsia="仿宋" w:cs="仿宋"/>
          <w:sz w:val="32"/>
          <w:szCs w:val="32"/>
          <w:highlight w:val="none"/>
          <w:lang w:val="en-US" w:eastAsia="zh-CN"/>
        </w:rPr>
        <w:t xml:space="preserve">       </w:t>
      </w:r>
      <w:r>
        <w:rPr>
          <w:rFonts w:hint="eastAsia" w:ascii="仿宋" w:hAnsi="仿宋" w:eastAsia="仿宋" w:cs="仿宋"/>
          <w:color w:val="auto"/>
          <w:sz w:val="32"/>
          <w:szCs w:val="32"/>
          <w:highlight w:val="none"/>
        </w:rPr>
        <w:t>㎡</w:t>
      </w:r>
      <w:r>
        <w:rPr>
          <w:rFonts w:hint="eastAsia" w:ascii="仿宋" w:hAnsi="仿宋" w:eastAsia="仿宋" w:cs="仿宋"/>
          <w:sz w:val="32"/>
          <w:szCs w:val="32"/>
          <w:highlight w:val="none"/>
        </w:rPr>
        <w:t>。</w:t>
      </w:r>
      <w:bookmarkStart w:id="28" w:name="_GoBack"/>
      <w:bookmarkEnd w:id="28"/>
    </w:p>
    <w:p w14:paraId="7971E34B">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sz w:val="32"/>
          <w:szCs w:val="32"/>
        </w:rPr>
      </w:pPr>
      <w:r>
        <w:rPr>
          <w:rFonts w:hint="eastAsia" w:ascii="仿宋" w:hAnsi="仿宋" w:eastAsia="仿宋" w:cs="仿宋"/>
          <w:sz w:val="32"/>
          <w:szCs w:val="32"/>
        </w:rPr>
        <w:t>2、合同期限为1年，自 202</w:t>
      </w:r>
      <w:r>
        <w:rPr>
          <w:rFonts w:hint="eastAsia" w:ascii="仿宋" w:hAnsi="仿宋" w:eastAsia="仿宋" w:cs="仿宋"/>
          <w:sz w:val="32"/>
          <w:szCs w:val="32"/>
          <w:lang w:val="en-US" w:eastAsia="zh-CN"/>
        </w:rPr>
        <w:t>5</w:t>
      </w:r>
      <w:r>
        <w:rPr>
          <w:rFonts w:hint="eastAsia" w:ascii="仿宋" w:hAnsi="仿宋" w:eastAsia="仿宋" w:cs="仿宋"/>
          <w:sz w:val="32"/>
          <w:szCs w:val="32"/>
        </w:rPr>
        <w:t>年</w:t>
      </w: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月</w:t>
      </w: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日至202</w:t>
      </w:r>
      <w:r>
        <w:rPr>
          <w:rFonts w:hint="eastAsia" w:ascii="仿宋" w:hAnsi="仿宋" w:eastAsia="仿宋" w:cs="仿宋"/>
          <w:sz w:val="32"/>
          <w:szCs w:val="32"/>
          <w:lang w:val="en-US" w:eastAsia="zh-CN"/>
        </w:rPr>
        <w:t>6</w:t>
      </w:r>
      <w:r>
        <w:rPr>
          <w:rFonts w:hint="eastAsia" w:ascii="仿宋" w:hAnsi="仿宋" w:eastAsia="仿宋" w:cs="仿宋"/>
          <w:sz w:val="32"/>
          <w:szCs w:val="32"/>
        </w:rPr>
        <w:t>年</w:t>
      </w: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月</w:t>
      </w: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日。</w:t>
      </w:r>
    </w:p>
    <w:p w14:paraId="3B586B96">
      <w:pPr>
        <w:pStyle w:val="14"/>
        <w:keepNext w:val="0"/>
        <w:keepLines w:val="0"/>
        <w:pageBreakBefore w:val="0"/>
        <w:kinsoku/>
        <w:overflowPunct/>
        <w:topLinePunct w:val="0"/>
        <w:autoSpaceDE/>
        <w:autoSpaceDN/>
        <w:bidi w:val="0"/>
        <w:adjustRightInd w:val="0"/>
        <w:snapToGrid w:val="0"/>
        <w:spacing w:line="560" w:lineRule="exact"/>
        <w:ind w:firstLine="627" w:firstLineChars="196"/>
        <w:textAlignment w:val="auto"/>
        <w:rPr>
          <w:rFonts w:hint="eastAsia" w:ascii="仿宋" w:hAnsi="仿宋" w:eastAsia="仿宋" w:cs="仿宋"/>
          <w:sz w:val="32"/>
          <w:szCs w:val="32"/>
          <w:lang w:val="en-US" w:eastAsia="zh-CN"/>
        </w:rPr>
      </w:pPr>
      <w:r>
        <w:rPr>
          <w:rFonts w:hint="eastAsia" w:ascii="仿宋" w:hAnsi="仿宋" w:eastAsia="仿宋" w:cs="仿宋"/>
          <w:sz w:val="32"/>
          <w:szCs w:val="32"/>
        </w:rPr>
        <w:t>3、委托方法为乙方整体承包方式。</w:t>
      </w:r>
      <w:r>
        <w:rPr>
          <w:rFonts w:hint="eastAsia" w:ascii="仿宋" w:hAnsi="仿宋" w:eastAsia="仿宋" w:cs="仿宋"/>
          <w:sz w:val="32"/>
          <w:szCs w:val="32"/>
          <w:lang w:val="en-US" w:eastAsia="zh-CN"/>
        </w:rPr>
        <w:t xml:space="preserve">     </w:t>
      </w:r>
    </w:p>
    <w:p w14:paraId="568FD1D8">
      <w:pPr>
        <w:pStyle w:val="14"/>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4、养护地点：雁塔区辖区内，具体以</w:t>
      </w:r>
      <w:r>
        <w:rPr>
          <w:rFonts w:hint="eastAsia" w:ascii="仿宋" w:hAnsi="仿宋" w:eastAsia="仿宋" w:cs="仿宋"/>
          <w:b w:val="0"/>
          <w:bCs/>
          <w:color w:val="auto"/>
          <w:sz w:val="32"/>
          <w:szCs w:val="32"/>
        </w:rPr>
        <w:t>附件1“</w:t>
      </w:r>
      <w:r>
        <w:rPr>
          <w:rFonts w:hint="eastAsia" w:ascii="仿宋" w:hAnsi="仿宋" w:eastAsia="仿宋" w:cs="仿宋"/>
          <w:b w:val="0"/>
          <w:bCs w:val="0"/>
          <w:color w:val="auto"/>
          <w:sz w:val="32"/>
          <w:szCs w:val="32"/>
          <w:u w:val="none"/>
          <w:lang w:eastAsia="zh-CN"/>
        </w:rPr>
        <w:t>202</w:t>
      </w:r>
      <w:r>
        <w:rPr>
          <w:rFonts w:hint="eastAsia" w:ascii="仿宋" w:hAnsi="仿宋" w:eastAsia="仿宋" w:cs="仿宋"/>
          <w:b w:val="0"/>
          <w:bCs w:val="0"/>
          <w:color w:val="auto"/>
          <w:sz w:val="32"/>
          <w:szCs w:val="32"/>
          <w:u w:val="none"/>
          <w:lang w:val="en-US" w:eastAsia="zh-CN"/>
        </w:rPr>
        <w:t>5-2026年度雁塔区南三环市场化养护服务</w:t>
      </w:r>
      <w:r>
        <w:rPr>
          <w:rFonts w:hint="eastAsia" w:ascii="仿宋" w:hAnsi="仿宋" w:eastAsia="仿宋" w:cs="仿宋"/>
          <w:b w:val="0"/>
          <w:bCs w:val="0"/>
          <w:color w:val="auto"/>
          <w:sz w:val="32"/>
          <w:szCs w:val="32"/>
          <w:u w:val="none"/>
          <w:lang w:eastAsia="zh-CN"/>
        </w:rPr>
        <w:t>项目（</w:t>
      </w:r>
      <w:r>
        <w:rPr>
          <w:rFonts w:hint="eastAsia" w:ascii="仿宋" w:hAnsi="仿宋" w:eastAsia="仿宋" w:cs="仿宋"/>
          <w:b w:val="0"/>
          <w:bCs w:val="0"/>
          <w:color w:val="auto"/>
          <w:sz w:val="32"/>
          <w:szCs w:val="32"/>
          <w:u w:val="none"/>
          <w:lang w:val="en-US" w:eastAsia="zh-CN"/>
        </w:rPr>
        <w:t>南三环</w:t>
      </w:r>
      <w:r>
        <w:rPr>
          <w:rFonts w:hint="eastAsia" w:ascii="仿宋" w:hAnsi="仿宋" w:eastAsia="仿宋" w:cs="仿宋"/>
          <w:b w:val="0"/>
          <w:bCs w:val="0"/>
          <w:color w:val="auto"/>
          <w:sz w:val="32"/>
          <w:szCs w:val="32"/>
          <w:u w:val="none"/>
          <w:lang w:eastAsia="zh-CN"/>
        </w:rPr>
        <w:t>第</w:t>
      </w:r>
      <w:r>
        <w:rPr>
          <w:rFonts w:hint="eastAsia" w:ascii="仿宋" w:hAnsi="仿宋" w:eastAsia="仿宋" w:cs="仿宋"/>
          <w:b w:val="0"/>
          <w:bCs w:val="0"/>
          <w:color w:val="auto"/>
          <w:sz w:val="32"/>
          <w:szCs w:val="32"/>
          <w:u w:val="none"/>
          <w:lang w:val="en-US" w:eastAsia="zh-CN"/>
        </w:rPr>
        <w:t xml:space="preserve">  </w:t>
      </w:r>
      <w:r>
        <w:rPr>
          <w:rFonts w:hint="eastAsia" w:ascii="仿宋" w:hAnsi="仿宋" w:eastAsia="仿宋" w:cs="仿宋"/>
          <w:b w:val="0"/>
          <w:bCs w:val="0"/>
          <w:color w:val="auto"/>
          <w:sz w:val="32"/>
          <w:szCs w:val="32"/>
          <w:u w:val="none"/>
          <w:lang w:eastAsia="zh-CN"/>
        </w:rPr>
        <w:t>包）</w:t>
      </w:r>
      <w:r>
        <w:rPr>
          <w:rFonts w:hint="eastAsia" w:ascii="仿宋" w:hAnsi="仿宋" w:eastAsia="仿宋" w:cs="仿宋"/>
          <w:color w:val="auto"/>
          <w:sz w:val="32"/>
          <w:szCs w:val="32"/>
        </w:rPr>
        <w:t>”为准。</w:t>
      </w:r>
    </w:p>
    <w:p w14:paraId="764AEEFD">
      <w:pPr>
        <w:pStyle w:val="3"/>
        <w:keepNext w:val="0"/>
        <w:keepLines w:val="0"/>
        <w:pageBreakBefore w:val="0"/>
        <w:kinsoku/>
        <w:overflowPunct/>
        <w:topLinePunct w:val="0"/>
        <w:autoSpaceDE/>
        <w:autoSpaceDN/>
        <w:bidi w:val="0"/>
        <w:adjustRightInd w:val="0"/>
        <w:snapToGrid w:val="0"/>
        <w:spacing w:line="560" w:lineRule="exact"/>
        <w:ind w:firstLine="643"/>
        <w:textAlignment w:val="auto"/>
        <w:outlineLvl w:val="1"/>
        <w:rPr>
          <w:rFonts w:hint="eastAsia" w:ascii="仿宋" w:hAnsi="仿宋" w:eastAsia="仿宋" w:cs="仿宋"/>
          <w:b/>
          <w:bCs/>
          <w:kern w:val="0"/>
          <w:sz w:val="32"/>
          <w:szCs w:val="32"/>
        </w:rPr>
      </w:pPr>
      <w:r>
        <w:rPr>
          <w:rFonts w:hint="eastAsia" w:ascii="仿宋" w:hAnsi="仿宋" w:eastAsia="仿宋" w:cs="仿宋"/>
          <w:b/>
          <w:bCs/>
          <w:kern w:val="0"/>
          <w:sz w:val="32"/>
          <w:szCs w:val="32"/>
        </w:rPr>
        <w:t>第</w:t>
      </w:r>
      <w:r>
        <w:rPr>
          <w:rFonts w:hint="eastAsia" w:ascii="仿宋" w:hAnsi="仿宋" w:eastAsia="仿宋" w:cs="仿宋"/>
          <w:b/>
          <w:bCs/>
          <w:kern w:val="0"/>
          <w:sz w:val="32"/>
          <w:szCs w:val="32"/>
          <w:lang w:val="en-US" w:eastAsia="zh-CN"/>
        </w:rPr>
        <w:t>三</w:t>
      </w:r>
      <w:r>
        <w:rPr>
          <w:rFonts w:hint="eastAsia" w:ascii="仿宋" w:hAnsi="仿宋" w:eastAsia="仿宋" w:cs="仿宋"/>
          <w:b/>
          <w:bCs/>
          <w:kern w:val="0"/>
          <w:sz w:val="32"/>
          <w:szCs w:val="32"/>
        </w:rPr>
        <w:t>条  合同价款</w:t>
      </w:r>
    </w:p>
    <w:p w14:paraId="6F0D7AC1">
      <w:pPr>
        <w:tabs>
          <w:tab w:val="left" w:pos="0"/>
          <w:tab w:val="left" w:pos="993"/>
          <w:tab w:val="left" w:pos="1134"/>
        </w:tabs>
        <w:adjustRightInd w:val="0"/>
        <w:snapToGrid w:val="0"/>
        <w:spacing w:line="480" w:lineRule="exact"/>
        <w:ind w:firstLine="640" w:firstLineChars="200"/>
        <w:rPr>
          <w:rFonts w:hint="eastAsia" w:ascii="仿宋" w:hAnsi="仿宋" w:eastAsia="仿宋" w:cs="仿宋"/>
          <w:color w:val="auto"/>
          <w:kern w:val="0"/>
          <w:sz w:val="32"/>
          <w:szCs w:val="32"/>
          <w:highlight w:val="none"/>
          <w:u w:val="single"/>
          <w:lang w:val="en-US" w:eastAsia="zh-CN"/>
        </w:rPr>
      </w:pPr>
      <w:r>
        <w:rPr>
          <w:rFonts w:hint="eastAsia" w:ascii="仿宋" w:hAnsi="仿宋" w:eastAsia="仿宋" w:cs="仿宋"/>
          <w:color w:val="auto"/>
          <w:kern w:val="0"/>
          <w:sz w:val="32"/>
          <w:szCs w:val="32"/>
          <w:highlight w:val="none"/>
          <w:lang w:val="en-US" w:eastAsia="zh-CN"/>
        </w:rPr>
        <w:t>暂定</w:t>
      </w:r>
      <w:r>
        <w:rPr>
          <w:rFonts w:hint="eastAsia" w:ascii="仿宋" w:hAnsi="仿宋" w:eastAsia="仿宋" w:cs="仿宋"/>
          <w:color w:val="auto"/>
          <w:kern w:val="0"/>
          <w:sz w:val="32"/>
          <w:szCs w:val="32"/>
          <w:highlight w:val="none"/>
        </w:rPr>
        <w:t>合同总价（大写）：</w:t>
      </w:r>
      <w:r>
        <w:rPr>
          <w:rFonts w:hint="eastAsia" w:ascii="仿宋" w:hAnsi="仿宋" w:eastAsia="仿宋" w:cs="仿宋"/>
          <w:color w:val="auto"/>
          <w:kern w:val="0"/>
          <w:sz w:val="32"/>
          <w:szCs w:val="32"/>
          <w:highlight w:val="none"/>
          <w:lang w:val="en-US" w:eastAsia="zh-CN"/>
        </w:rPr>
        <w:t xml:space="preserve">                         </w:t>
      </w:r>
    </w:p>
    <w:p w14:paraId="7F5F9266">
      <w:pPr>
        <w:tabs>
          <w:tab w:val="left" w:pos="0"/>
          <w:tab w:val="left" w:pos="993"/>
          <w:tab w:val="left" w:pos="1134"/>
        </w:tabs>
        <w:adjustRightInd w:val="0"/>
        <w:snapToGrid w:val="0"/>
        <w:spacing w:line="480" w:lineRule="exact"/>
        <w:ind w:firstLine="2560" w:firstLineChars="800"/>
        <w:rPr>
          <w:rFonts w:hint="eastAsia" w:ascii="仿宋" w:hAnsi="仿宋" w:eastAsia="仿宋" w:cs="仿宋"/>
          <w:b/>
          <w:color w:val="auto"/>
          <w:kern w:val="0"/>
          <w:sz w:val="32"/>
          <w:szCs w:val="32"/>
          <w:highlight w:val="none"/>
          <w:u w:val="single"/>
        </w:rPr>
      </w:pPr>
      <w:r>
        <w:rPr>
          <w:rFonts w:hint="eastAsia" w:ascii="仿宋" w:hAnsi="仿宋" w:eastAsia="仿宋" w:cs="仿宋"/>
          <w:color w:val="auto"/>
          <w:kern w:val="0"/>
          <w:sz w:val="32"/>
          <w:szCs w:val="32"/>
          <w:highlight w:val="none"/>
          <w:u w:val="none"/>
        </w:rPr>
        <w:t>（小写）￥：</w:t>
      </w:r>
      <w:r>
        <w:rPr>
          <w:rFonts w:hint="eastAsia" w:ascii="仿宋" w:hAnsi="仿宋" w:eastAsia="仿宋" w:cs="仿宋"/>
          <w:color w:val="auto"/>
          <w:kern w:val="0"/>
          <w:sz w:val="32"/>
          <w:szCs w:val="32"/>
          <w:highlight w:val="none"/>
          <w:u w:val="none"/>
          <w:lang w:val="en-US" w:eastAsia="zh-CN"/>
        </w:rPr>
        <w:t xml:space="preserve">      </w:t>
      </w:r>
      <w:r>
        <w:rPr>
          <w:rFonts w:hint="eastAsia" w:ascii="仿宋" w:hAnsi="仿宋" w:eastAsia="仿宋" w:cs="仿宋"/>
          <w:b/>
          <w:color w:val="auto"/>
          <w:kern w:val="0"/>
          <w:sz w:val="32"/>
          <w:szCs w:val="32"/>
          <w:highlight w:val="none"/>
          <w:u w:val="single"/>
        </w:rPr>
        <w:t>元</w:t>
      </w:r>
    </w:p>
    <w:p w14:paraId="203DE06F">
      <w:pPr>
        <w:tabs>
          <w:tab w:val="left" w:pos="0"/>
          <w:tab w:val="left" w:pos="993"/>
          <w:tab w:val="left" w:pos="1134"/>
        </w:tabs>
        <w:adjustRightInd w:val="0"/>
        <w:snapToGrid w:val="0"/>
        <w:spacing w:line="480" w:lineRule="exact"/>
        <w:ind w:left="557" w:leftChars="232" w:firstLine="0" w:firstLineChars="0"/>
        <w:rPr>
          <w:rFonts w:hint="eastAsia" w:ascii="仿宋" w:hAnsi="仿宋" w:eastAsia="仿宋" w:cs="仿宋"/>
          <w:color w:val="auto"/>
          <w:kern w:val="0"/>
          <w:sz w:val="32"/>
          <w:szCs w:val="32"/>
          <w:highlight w:val="none"/>
          <w:lang w:val="en-US" w:eastAsia="zh-CN"/>
        </w:rPr>
      </w:pPr>
      <w:r>
        <w:rPr>
          <w:rFonts w:hint="eastAsia" w:ascii="仿宋" w:hAnsi="仿宋" w:eastAsia="仿宋" w:cs="仿宋"/>
          <w:color w:val="auto"/>
          <w:kern w:val="0"/>
          <w:sz w:val="32"/>
          <w:szCs w:val="32"/>
          <w:highlight w:val="none"/>
          <w:lang w:val="en-US" w:eastAsia="zh-CN"/>
        </w:rPr>
        <w:t xml:space="preserve">其中绿地养护费用为（大写）：  </w:t>
      </w:r>
    </w:p>
    <w:p w14:paraId="7A12BEC1">
      <w:pPr>
        <w:tabs>
          <w:tab w:val="left" w:pos="0"/>
          <w:tab w:val="left" w:pos="993"/>
          <w:tab w:val="left" w:pos="1134"/>
        </w:tabs>
        <w:adjustRightInd w:val="0"/>
        <w:snapToGrid w:val="0"/>
        <w:spacing w:line="480" w:lineRule="exact"/>
        <w:ind w:left="557" w:leftChars="232" w:firstLine="2880" w:firstLineChars="900"/>
        <w:rPr>
          <w:rFonts w:hint="eastAsia" w:ascii="仿宋" w:hAnsi="仿宋" w:eastAsia="仿宋" w:cs="仿宋"/>
          <w:b/>
          <w:bCs/>
          <w:color w:val="auto"/>
          <w:kern w:val="0"/>
          <w:sz w:val="32"/>
          <w:szCs w:val="32"/>
          <w:highlight w:val="none"/>
          <w:u w:val="none"/>
          <w:lang w:val="en-US" w:eastAsia="zh-CN"/>
        </w:rPr>
      </w:pPr>
      <w:r>
        <w:rPr>
          <w:rFonts w:hint="eastAsia" w:ascii="仿宋" w:hAnsi="仿宋" w:eastAsia="仿宋" w:cs="仿宋"/>
          <w:color w:val="auto"/>
          <w:kern w:val="0"/>
          <w:sz w:val="32"/>
          <w:szCs w:val="32"/>
          <w:highlight w:val="none"/>
          <w:lang w:val="en-US" w:eastAsia="zh-CN"/>
        </w:rPr>
        <w:t>（小写）</w:t>
      </w:r>
      <w:r>
        <w:rPr>
          <w:rFonts w:hint="eastAsia" w:ascii="仿宋" w:hAnsi="仿宋" w:eastAsia="仿宋" w:cs="仿宋"/>
          <w:color w:val="auto"/>
          <w:kern w:val="0"/>
          <w:sz w:val="32"/>
          <w:szCs w:val="32"/>
          <w:highlight w:val="none"/>
        </w:rPr>
        <w:t>￥：</w:t>
      </w:r>
      <w:r>
        <w:rPr>
          <w:rFonts w:hint="eastAsia" w:ascii="仿宋" w:hAnsi="仿宋" w:eastAsia="仿宋" w:cs="仿宋"/>
          <w:color w:val="auto"/>
          <w:kern w:val="0"/>
          <w:sz w:val="32"/>
          <w:szCs w:val="32"/>
          <w:highlight w:val="none"/>
          <w:lang w:val="en-US" w:eastAsia="zh-CN"/>
        </w:rPr>
        <w:t xml:space="preserve">      </w:t>
      </w:r>
      <w:r>
        <w:rPr>
          <w:rFonts w:hint="eastAsia" w:ascii="仿宋" w:hAnsi="仿宋" w:eastAsia="仿宋" w:cs="仿宋"/>
          <w:b/>
          <w:bCs/>
          <w:color w:val="auto"/>
          <w:kern w:val="0"/>
          <w:sz w:val="32"/>
          <w:szCs w:val="32"/>
          <w:highlight w:val="none"/>
          <w:u w:val="none"/>
          <w:lang w:val="en-US" w:eastAsia="zh-CN"/>
        </w:rPr>
        <w:t>元</w:t>
      </w:r>
    </w:p>
    <w:p w14:paraId="77EDDE6A">
      <w:pPr>
        <w:pStyle w:val="2"/>
        <w:rPr>
          <w:rFonts w:hint="eastAsia" w:ascii="仿宋" w:hAnsi="仿宋" w:eastAsia="仿宋" w:cs="仿宋"/>
          <w:color w:val="auto"/>
          <w:kern w:val="0"/>
          <w:sz w:val="18"/>
          <w:szCs w:val="18"/>
          <w:highlight w:val="none"/>
        </w:rPr>
      </w:pPr>
    </w:p>
    <w:p w14:paraId="64354687">
      <w:pPr>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sz w:val="32"/>
          <w:szCs w:val="32"/>
          <w:highlight w:val="none"/>
          <w:lang w:val="en-US" w:eastAsia="zh-CN"/>
        </w:rPr>
        <w:t>其中预留金暂定为      元，用于补栽、设施维护等工作，</w:t>
      </w:r>
      <w:r>
        <w:rPr>
          <w:rFonts w:hint="eastAsia" w:ascii="仿宋" w:hAnsi="仿宋" w:eastAsia="仿宋" w:cs="仿宋"/>
          <w:color w:val="auto"/>
          <w:sz w:val="32"/>
          <w:szCs w:val="32"/>
          <w:highlight w:val="none"/>
        </w:rPr>
        <w:t>该费用如不发生不予支付</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sz w:val="32"/>
          <w:szCs w:val="32"/>
          <w:highlight w:val="none"/>
          <w:lang w:val="en-US" w:eastAsia="zh-CN"/>
        </w:rPr>
        <w:t>以</w:t>
      </w:r>
      <w:r>
        <w:rPr>
          <w:rFonts w:hint="eastAsia" w:ascii="仿宋" w:hAnsi="仿宋" w:eastAsia="仿宋" w:cs="仿宋"/>
          <w:color w:val="auto"/>
          <w:sz w:val="32"/>
          <w:szCs w:val="32"/>
          <w:highlight w:val="none"/>
        </w:rPr>
        <w:t>最终实际发生的金额审计后为准结算）</w:t>
      </w:r>
    </w:p>
    <w:p w14:paraId="143D0674">
      <w:pPr>
        <w:widowControl/>
        <w:spacing w:line="560" w:lineRule="exact"/>
        <w:ind w:firstLine="640" w:firstLineChars="200"/>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上述价格皆为含税价格。</w:t>
      </w:r>
    </w:p>
    <w:p w14:paraId="22736D01">
      <w:pPr>
        <w:pStyle w:val="3"/>
        <w:keepNext w:val="0"/>
        <w:keepLines w:val="0"/>
        <w:pageBreakBefore w:val="0"/>
        <w:kinsoku/>
        <w:overflowPunct/>
        <w:topLinePunct w:val="0"/>
        <w:autoSpaceDE/>
        <w:autoSpaceDN/>
        <w:bidi w:val="0"/>
        <w:adjustRightInd w:val="0"/>
        <w:snapToGrid w:val="0"/>
        <w:spacing w:line="560" w:lineRule="exact"/>
        <w:textAlignment w:val="auto"/>
        <w:outlineLvl w:val="1"/>
        <w:rPr>
          <w:rFonts w:hint="eastAsia" w:ascii="仿宋" w:hAnsi="仿宋" w:eastAsia="仿宋" w:cs="仿宋"/>
          <w:b/>
          <w:bCs/>
          <w:kern w:val="0"/>
          <w:sz w:val="32"/>
          <w:szCs w:val="32"/>
        </w:rPr>
      </w:pPr>
      <w:r>
        <w:rPr>
          <w:rFonts w:hint="eastAsia" w:ascii="仿宋" w:hAnsi="仿宋" w:eastAsia="仿宋" w:cs="仿宋"/>
          <w:b/>
          <w:bCs/>
          <w:kern w:val="0"/>
          <w:sz w:val="32"/>
          <w:szCs w:val="32"/>
          <w:lang w:val="en-US" w:eastAsia="zh-CN"/>
        </w:rPr>
        <w:t>第四条  款项</w:t>
      </w:r>
      <w:r>
        <w:rPr>
          <w:rFonts w:hint="eastAsia" w:ascii="仿宋" w:hAnsi="仿宋" w:eastAsia="仿宋" w:cs="仿宋"/>
          <w:b/>
          <w:bCs/>
          <w:kern w:val="0"/>
          <w:sz w:val="32"/>
          <w:szCs w:val="32"/>
        </w:rPr>
        <w:t>支付</w:t>
      </w:r>
    </w:p>
    <w:p w14:paraId="2EA6A98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w:t>
      </w:r>
      <w:r>
        <w:rPr>
          <w:rFonts w:hint="eastAsia" w:ascii="仿宋" w:hAnsi="仿宋" w:eastAsia="仿宋" w:cs="仿宋"/>
          <w:sz w:val="32"/>
          <w:szCs w:val="32"/>
        </w:rPr>
        <w:t>双方约定，本合同绿化养护服务费支付方式如下：</w:t>
      </w:r>
    </w:p>
    <w:p w14:paraId="76B11809">
      <w:pPr>
        <w:keepNext w:val="0"/>
        <w:keepLines w:val="0"/>
        <w:pageBreakBefore w:val="0"/>
        <w:widowControl/>
        <w:kinsoku/>
        <w:overflowPunct/>
        <w:topLinePunct w:val="0"/>
        <w:autoSpaceDE/>
        <w:autoSpaceDN/>
        <w:bidi w:val="0"/>
        <w:adjustRightInd w:val="0"/>
        <w:snapToGrid w:val="0"/>
        <w:spacing w:line="560" w:lineRule="exact"/>
        <w:ind w:firstLine="420"/>
        <w:textAlignment w:val="auto"/>
        <w:rPr>
          <w:rFonts w:hint="eastAsia" w:ascii="仿宋" w:hAnsi="仿宋" w:eastAsia="仿宋" w:cs="仿宋"/>
          <w:bCs/>
          <w:sz w:val="32"/>
          <w:szCs w:val="32"/>
        </w:rPr>
      </w:pPr>
      <w:r>
        <w:rPr>
          <w:rFonts w:hint="eastAsia" w:ascii="仿宋" w:hAnsi="仿宋" w:eastAsia="仿宋" w:cs="仿宋"/>
          <w:bCs/>
          <w:sz w:val="32"/>
          <w:szCs w:val="32"/>
        </w:rPr>
        <w:t>绿化养护费用按季度（三个月）结算，</w:t>
      </w:r>
      <w:r>
        <w:rPr>
          <w:rFonts w:hint="eastAsia" w:ascii="仿宋" w:hAnsi="仿宋" w:eastAsia="仿宋" w:cs="仿宋"/>
          <w:bCs/>
          <w:sz w:val="32"/>
          <w:szCs w:val="32"/>
          <w:lang w:val="en-US" w:eastAsia="zh-CN"/>
        </w:rPr>
        <w:t>甲方支付乙方养护费的25%，</w:t>
      </w:r>
      <w:r>
        <w:rPr>
          <w:rFonts w:hint="eastAsia" w:ascii="仿宋" w:hAnsi="仿宋" w:eastAsia="仿宋" w:cs="仿宋"/>
          <w:bCs/>
          <w:sz w:val="32"/>
          <w:szCs w:val="32"/>
        </w:rPr>
        <w:t>甲方支付前，乙方应向甲方提供等额的正规合法服务发票、每月的绿化养护评分表、监理公司开具的支付证书。</w:t>
      </w:r>
    </w:p>
    <w:p w14:paraId="13FDC8C5">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rPr>
        <w:t>绿化养护费用的计算：依据养护的实际面积、</w:t>
      </w:r>
      <w:r>
        <w:rPr>
          <w:rFonts w:hint="eastAsia" w:ascii="仿宋" w:hAnsi="仿宋" w:eastAsia="仿宋" w:cs="仿宋"/>
          <w:sz w:val="32"/>
          <w:szCs w:val="32"/>
          <w:lang w:val="en-US" w:eastAsia="zh-CN"/>
        </w:rPr>
        <w:t>扣除违约金情况、</w:t>
      </w:r>
      <w:r>
        <w:rPr>
          <w:rFonts w:hint="eastAsia" w:ascii="仿宋" w:hAnsi="仿宋" w:eastAsia="仿宋" w:cs="仿宋"/>
          <w:sz w:val="32"/>
          <w:szCs w:val="32"/>
        </w:rPr>
        <w:t>评分表打分情况和乙方投标时每平方米养护费用进行计算。</w:t>
      </w:r>
    </w:p>
    <w:p w14:paraId="14ADFD32">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kern w:val="0"/>
          <w:sz w:val="32"/>
          <w:szCs w:val="32"/>
          <w:lang w:val="en-US" w:eastAsia="zh-CN"/>
        </w:rPr>
        <w:t>3</w:t>
      </w:r>
      <w:r>
        <w:rPr>
          <w:rFonts w:hint="eastAsia" w:ascii="仿宋" w:hAnsi="仿宋" w:eastAsia="仿宋" w:cs="仿宋"/>
          <w:kern w:val="0"/>
          <w:sz w:val="32"/>
          <w:szCs w:val="32"/>
          <w:lang w:eastAsia="zh-CN"/>
        </w:rPr>
        <w:t>、</w:t>
      </w:r>
      <w:r>
        <w:rPr>
          <w:rFonts w:hint="eastAsia" w:ascii="仿宋" w:hAnsi="仿宋" w:eastAsia="仿宋" w:cs="仿宋"/>
          <w:kern w:val="0"/>
          <w:sz w:val="32"/>
          <w:szCs w:val="32"/>
        </w:rPr>
        <w:t>如遇区财政结算或相关问题无法按时支付时，</w:t>
      </w:r>
      <w:r>
        <w:rPr>
          <w:rFonts w:hint="eastAsia" w:ascii="仿宋" w:hAnsi="仿宋" w:eastAsia="仿宋" w:cs="仿宋"/>
          <w:kern w:val="0"/>
          <w:sz w:val="32"/>
          <w:szCs w:val="32"/>
          <w:lang w:val="en-US" w:eastAsia="zh-CN"/>
        </w:rPr>
        <w:t>待问题解决后即行支付</w:t>
      </w:r>
      <w:r>
        <w:rPr>
          <w:rFonts w:hint="eastAsia" w:ascii="仿宋" w:hAnsi="仿宋" w:eastAsia="仿宋" w:cs="仿宋"/>
          <w:kern w:val="0"/>
          <w:sz w:val="32"/>
          <w:szCs w:val="32"/>
        </w:rPr>
        <w:t>。</w:t>
      </w:r>
    </w:p>
    <w:p w14:paraId="12C20AE1">
      <w:pPr>
        <w:pStyle w:val="3"/>
        <w:keepNext w:val="0"/>
        <w:keepLines w:val="0"/>
        <w:pageBreakBefore w:val="0"/>
        <w:kinsoku/>
        <w:overflowPunct/>
        <w:topLinePunct w:val="0"/>
        <w:autoSpaceDE/>
        <w:autoSpaceDN/>
        <w:bidi w:val="0"/>
        <w:adjustRightInd w:val="0"/>
        <w:snapToGrid w:val="0"/>
        <w:spacing w:line="560" w:lineRule="exact"/>
        <w:ind w:firstLine="643"/>
        <w:textAlignment w:val="auto"/>
        <w:outlineLvl w:val="1"/>
        <w:rPr>
          <w:rFonts w:hint="eastAsia" w:ascii="仿宋" w:hAnsi="仿宋" w:eastAsia="仿宋" w:cs="仿宋"/>
          <w:b/>
          <w:bCs/>
          <w:color w:val="auto"/>
          <w:kern w:val="0"/>
          <w:sz w:val="32"/>
          <w:szCs w:val="32"/>
          <w:lang w:val="en-US" w:eastAsia="zh-CN"/>
        </w:rPr>
      </w:pPr>
      <w:r>
        <w:rPr>
          <w:rFonts w:hint="eastAsia" w:ascii="仿宋" w:hAnsi="仿宋" w:eastAsia="仿宋" w:cs="仿宋"/>
          <w:b/>
          <w:bCs/>
          <w:color w:val="auto"/>
          <w:kern w:val="0"/>
          <w:sz w:val="32"/>
          <w:szCs w:val="32"/>
        </w:rPr>
        <w:t>第</w:t>
      </w:r>
      <w:r>
        <w:rPr>
          <w:rFonts w:hint="eastAsia" w:ascii="仿宋" w:hAnsi="仿宋" w:eastAsia="仿宋" w:cs="仿宋"/>
          <w:b/>
          <w:bCs/>
          <w:color w:val="auto"/>
          <w:kern w:val="0"/>
          <w:sz w:val="32"/>
          <w:szCs w:val="32"/>
          <w:lang w:val="en-US" w:eastAsia="zh-CN"/>
        </w:rPr>
        <w:t>五</w:t>
      </w:r>
      <w:r>
        <w:rPr>
          <w:rFonts w:hint="eastAsia" w:ascii="仿宋" w:hAnsi="仿宋" w:eastAsia="仿宋" w:cs="仿宋"/>
          <w:b/>
          <w:bCs/>
          <w:color w:val="auto"/>
          <w:kern w:val="0"/>
          <w:sz w:val="32"/>
          <w:szCs w:val="32"/>
        </w:rPr>
        <w:t xml:space="preserve">条  </w:t>
      </w:r>
      <w:r>
        <w:rPr>
          <w:rFonts w:hint="eastAsia" w:ascii="仿宋" w:hAnsi="仿宋" w:eastAsia="仿宋" w:cs="仿宋"/>
          <w:b/>
          <w:bCs/>
          <w:color w:val="auto"/>
          <w:kern w:val="0"/>
          <w:sz w:val="32"/>
          <w:szCs w:val="32"/>
          <w:lang w:val="en-US" w:eastAsia="zh-CN"/>
        </w:rPr>
        <w:t>服务要求总述</w:t>
      </w:r>
    </w:p>
    <w:p w14:paraId="479FDAC2">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kern w:val="0"/>
          <w:sz w:val="32"/>
          <w:szCs w:val="32"/>
        </w:rPr>
      </w:pPr>
      <w:r>
        <w:rPr>
          <w:rFonts w:hint="eastAsia" w:ascii="仿宋" w:hAnsi="仿宋" w:eastAsia="仿宋" w:cs="仿宋"/>
          <w:color w:val="auto"/>
          <w:kern w:val="0"/>
          <w:sz w:val="32"/>
          <w:szCs w:val="32"/>
          <w:lang w:val="en-US" w:eastAsia="zh-CN"/>
        </w:rPr>
        <w:t>1、雁塔区道路和市场化养护</w:t>
      </w:r>
      <w:r>
        <w:rPr>
          <w:rFonts w:hint="eastAsia" w:ascii="仿宋" w:hAnsi="仿宋" w:eastAsia="仿宋" w:cs="仿宋"/>
          <w:color w:val="auto"/>
          <w:kern w:val="0"/>
          <w:sz w:val="32"/>
          <w:szCs w:val="32"/>
        </w:rPr>
        <w:t>工作包括</w:t>
      </w:r>
      <w:r>
        <w:rPr>
          <w:rFonts w:hint="eastAsia" w:ascii="仿宋" w:hAnsi="仿宋" w:eastAsia="仿宋" w:cs="仿宋"/>
          <w:color w:val="auto"/>
          <w:kern w:val="0"/>
          <w:sz w:val="32"/>
          <w:szCs w:val="32"/>
          <w:lang w:val="en-US" w:eastAsia="zh-CN"/>
        </w:rPr>
        <w:t>但不限于绿化</w:t>
      </w:r>
      <w:r>
        <w:rPr>
          <w:rFonts w:hint="eastAsia" w:ascii="仿宋" w:hAnsi="仿宋" w:eastAsia="仿宋" w:cs="仿宋"/>
          <w:color w:val="auto"/>
          <w:kern w:val="0"/>
          <w:sz w:val="32"/>
          <w:szCs w:val="32"/>
        </w:rPr>
        <w:t>养护、</w:t>
      </w:r>
      <w:r>
        <w:rPr>
          <w:rFonts w:hint="eastAsia" w:ascii="仿宋" w:hAnsi="仿宋" w:eastAsia="仿宋" w:cs="仿宋"/>
          <w:color w:val="auto"/>
          <w:kern w:val="0"/>
          <w:sz w:val="32"/>
          <w:szCs w:val="32"/>
          <w:lang w:val="en-US" w:eastAsia="zh-CN"/>
        </w:rPr>
        <w:t>应急抢险、</w:t>
      </w:r>
      <w:r>
        <w:rPr>
          <w:rFonts w:hint="eastAsia" w:ascii="仿宋" w:hAnsi="仿宋" w:eastAsia="仿宋" w:cs="仿宋"/>
          <w:color w:val="auto"/>
          <w:kern w:val="0"/>
          <w:sz w:val="32"/>
          <w:szCs w:val="32"/>
        </w:rPr>
        <w:t>设施维护及绿地管理等方面。</w:t>
      </w:r>
    </w:p>
    <w:p w14:paraId="1E312CE2">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kern w:val="0"/>
          <w:sz w:val="32"/>
          <w:szCs w:val="32"/>
        </w:rPr>
      </w:pPr>
      <w:r>
        <w:rPr>
          <w:rFonts w:hint="eastAsia" w:ascii="仿宋" w:hAnsi="仿宋" w:eastAsia="仿宋" w:cs="仿宋"/>
          <w:color w:val="auto"/>
          <w:kern w:val="0"/>
          <w:sz w:val="32"/>
          <w:szCs w:val="32"/>
          <w:lang w:val="en-US" w:eastAsia="zh-CN"/>
        </w:rPr>
        <w:t>2、绿化</w:t>
      </w:r>
      <w:r>
        <w:rPr>
          <w:rFonts w:hint="eastAsia" w:ascii="仿宋" w:hAnsi="仿宋" w:eastAsia="仿宋" w:cs="仿宋"/>
          <w:color w:val="auto"/>
          <w:kern w:val="0"/>
          <w:sz w:val="32"/>
          <w:szCs w:val="32"/>
        </w:rPr>
        <w:t>养护的主要技术要求包括整形与修剪、</w:t>
      </w:r>
      <w:r>
        <w:rPr>
          <w:rFonts w:hint="eastAsia" w:ascii="仿宋" w:hAnsi="仿宋" w:eastAsia="仿宋" w:cs="仿宋"/>
          <w:color w:val="auto"/>
          <w:kern w:val="0"/>
          <w:sz w:val="32"/>
          <w:szCs w:val="32"/>
          <w:lang w:val="en-US" w:eastAsia="zh-CN"/>
        </w:rPr>
        <w:t>病虫害</w:t>
      </w:r>
      <w:r>
        <w:rPr>
          <w:rFonts w:hint="eastAsia" w:ascii="仿宋" w:hAnsi="仿宋" w:eastAsia="仿宋" w:cs="仿宋"/>
          <w:color w:val="auto"/>
          <w:kern w:val="0"/>
          <w:sz w:val="32"/>
          <w:szCs w:val="32"/>
        </w:rPr>
        <w:t>防治、灌溉与排水、施肥、松土与除草、防护与保护、调整与补植等。</w:t>
      </w:r>
    </w:p>
    <w:p w14:paraId="43D7261B">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val="en-US" w:eastAsia="zh-CN"/>
        </w:rPr>
        <w:t>3、应急抢险工作包括制定</w:t>
      </w:r>
      <w:r>
        <w:rPr>
          <w:rFonts w:hint="eastAsia" w:ascii="仿宋" w:hAnsi="仿宋" w:eastAsia="仿宋" w:cs="仿宋"/>
          <w:color w:val="auto"/>
          <w:kern w:val="0"/>
          <w:sz w:val="32"/>
          <w:szCs w:val="32"/>
        </w:rPr>
        <w:t>应急预案</w:t>
      </w:r>
      <w:r>
        <w:rPr>
          <w:rFonts w:hint="eastAsia" w:ascii="仿宋" w:hAnsi="仿宋" w:eastAsia="仿宋" w:cs="仿宋"/>
          <w:color w:val="auto"/>
          <w:kern w:val="0"/>
          <w:sz w:val="32"/>
          <w:szCs w:val="32"/>
          <w:lang w:eastAsia="zh-CN"/>
        </w:rPr>
        <w:t>、</w:t>
      </w:r>
      <w:r>
        <w:rPr>
          <w:rFonts w:hint="eastAsia" w:ascii="仿宋" w:hAnsi="仿宋" w:eastAsia="仿宋" w:cs="仿宋"/>
          <w:color w:val="auto"/>
          <w:kern w:val="0"/>
          <w:sz w:val="32"/>
          <w:szCs w:val="32"/>
          <w:lang w:val="en-US" w:eastAsia="zh-CN"/>
        </w:rPr>
        <w:t>组建应急抢险队伍，服从甲方应急抢险工作安排，在</w:t>
      </w:r>
      <w:r>
        <w:rPr>
          <w:rFonts w:hint="eastAsia" w:ascii="仿宋" w:hAnsi="仿宋" w:eastAsia="仿宋" w:cs="仿宋"/>
          <w:color w:val="auto"/>
          <w:kern w:val="0"/>
          <w:sz w:val="32"/>
          <w:szCs w:val="32"/>
        </w:rPr>
        <w:t>强降雨、强降温、大风大雪等灾害性天气</w:t>
      </w:r>
      <w:r>
        <w:rPr>
          <w:rFonts w:hint="eastAsia" w:ascii="仿宋" w:hAnsi="仿宋" w:eastAsia="仿宋" w:cs="仿宋"/>
          <w:color w:val="auto"/>
          <w:kern w:val="0"/>
          <w:sz w:val="32"/>
          <w:szCs w:val="32"/>
          <w:lang w:val="en-US" w:eastAsia="zh-CN"/>
        </w:rPr>
        <w:t>时及时响应，</w:t>
      </w:r>
      <w:r>
        <w:rPr>
          <w:rFonts w:hint="eastAsia" w:ascii="仿宋" w:hAnsi="仿宋" w:eastAsia="仿宋" w:cs="仿宋"/>
          <w:color w:val="auto"/>
          <w:kern w:val="0"/>
          <w:sz w:val="32"/>
          <w:szCs w:val="32"/>
        </w:rPr>
        <w:t>采取措施消除植物对行（游）人、车辆、市政设施、建（构）筑物等构成</w:t>
      </w:r>
      <w:r>
        <w:rPr>
          <w:rFonts w:hint="eastAsia" w:ascii="仿宋" w:hAnsi="仿宋" w:eastAsia="仿宋" w:cs="仿宋"/>
          <w:color w:val="auto"/>
          <w:kern w:val="0"/>
          <w:sz w:val="32"/>
          <w:szCs w:val="32"/>
          <w:lang w:val="en-US" w:eastAsia="zh-CN"/>
        </w:rPr>
        <w:t>的</w:t>
      </w:r>
      <w:r>
        <w:rPr>
          <w:rFonts w:hint="eastAsia" w:ascii="仿宋" w:hAnsi="仿宋" w:eastAsia="仿宋" w:cs="仿宋"/>
          <w:color w:val="auto"/>
          <w:kern w:val="0"/>
          <w:sz w:val="32"/>
          <w:szCs w:val="32"/>
        </w:rPr>
        <w:t>安全隐患</w:t>
      </w:r>
      <w:r>
        <w:rPr>
          <w:rFonts w:hint="eastAsia" w:ascii="仿宋" w:hAnsi="仿宋" w:eastAsia="仿宋" w:cs="仿宋"/>
          <w:color w:val="auto"/>
          <w:kern w:val="0"/>
          <w:sz w:val="32"/>
          <w:szCs w:val="32"/>
          <w:lang w:eastAsia="zh-CN"/>
        </w:rPr>
        <w:t>，</w:t>
      </w:r>
      <w:r>
        <w:rPr>
          <w:rFonts w:hint="eastAsia" w:ascii="仿宋" w:hAnsi="仿宋" w:eastAsia="仿宋" w:cs="仿宋"/>
          <w:color w:val="auto"/>
          <w:kern w:val="0"/>
          <w:sz w:val="32"/>
          <w:szCs w:val="32"/>
          <w:lang w:val="en-US" w:eastAsia="zh-CN"/>
        </w:rPr>
        <w:t>尽快恢复道路交通。</w:t>
      </w:r>
    </w:p>
    <w:p w14:paraId="7FE8BC5A">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4</w:t>
      </w:r>
      <w:r>
        <w:rPr>
          <w:rFonts w:hint="eastAsia" w:ascii="仿宋" w:hAnsi="仿宋" w:eastAsia="仿宋" w:cs="仿宋"/>
          <w:color w:val="auto"/>
          <w:kern w:val="0"/>
          <w:sz w:val="32"/>
          <w:szCs w:val="32"/>
          <w:lang w:eastAsia="zh-CN"/>
        </w:rPr>
        <w:t>、</w:t>
      </w:r>
      <w:r>
        <w:rPr>
          <w:rFonts w:hint="eastAsia" w:ascii="仿宋" w:hAnsi="仿宋" w:eastAsia="仿宋" w:cs="仿宋"/>
          <w:color w:val="auto"/>
          <w:kern w:val="0"/>
          <w:sz w:val="32"/>
          <w:szCs w:val="32"/>
        </w:rPr>
        <w:t>设施维护的主要技术要求包括园林建筑类设施维护、小品设施类设施维护、管理服务类设施维护等。</w:t>
      </w:r>
    </w:p>
    <w:p w14:paraId="18EEF865">
      <w:pPr>
        <w:pStyle w:val="3"/>
        <w:keepNext w:val="0"/>
        <w:keepLines w:val="0"/>
        <w:pageBreakBefore w:val="0"/>
        <w:widowControl/>
        <w:kinsoku/>
        <w:overflowPunct/>
        <w:topLinePunct w:val="0"/>
        <w:autoSpaceDE/>
        <w:autoSpaceDN/>
        <w:bidi w:val="0"/>
        <w:spacing w:line="560" w:lineRule="exact"/>
        <w:ind w:firstLine="640" w:firstLineChars="200"/>
        <w:textAlignment w:val="auto"/>
        <w:rPr>
          <w:rFonts w:hint="eastAsia" w:ascii="仿宋" w:hAnsi="仿宋" w:eastAsia="仿宋" w:cs="仿宋"/>
          <w:color w:val="auto"/>
          <w:kern w:val="0"/>
          <w:sz w:val="32"/>
          <w:szCs w:val="32"/>
        </w:rPr>
      </w:pPr>
      <w:r>
        <w:rPr>
          <w:rFonts w:hint="eastAsia" w:ascii="仿宋" w:hAnsi="仿宋" w:eastAsia="仿宋" w:cs="仿宋"/>
          <w:color w:val="auto"/>
          <w:kern w:val="0"/>
          <w:sz w:val="32"/>
          <w:szCs w:val="32"/>
          <w:lang w:val="en-US" w:eastAsia="zh-CN"/>
        </w:rPr>
        <w:t>5、</w:t>
      </w:r>
      <w:r>
        <w:rPr>
          <w:rFonts w:hint="eastAsia" w:ascii="仿宋" w:hAnsi="仿宋" w:eastAsia="仿宋" w:cs="仿宋"/>
          <w:color w:val="auto"/>
          <w:kern w:val="0"/>
          <w:sz w:val="32"/>
          <w:szCs w:val="32"/>
        </w:rPr>
        <w:t>绿地管理的主要技术要求包括绿地保洁、秩序保障、</w:t>
      </w:r>
      <w:r>
        <w:rPr>
          <w:rFonts w:hint="eastAsia" w:ascii="仿宋" w:hAnsi="仿宋" w:eastAsia="仿宋" w:cs="仿宋"/>
          <w:color w:val="auto"/>
          <w:kern w:val="0"/>
          <w:sz w:val="32"/>
          <w:szCs w:val="32"/>
          <w:lang w:val="en-US" w:eastAsia="zh-CN"/>
        </w:rPr>
        <w:t>资料</w:t>
      </w:r>
      <w:r>
        <w:rPr>
          <w:rFonts w:hint="eastAsia" w:ascii="仿宋" w:hAnsi="仿宋" w:eastAsia="仿宋" w:cs="仿宋"/>
          <w:color w:val="auto"/>
          <w:kern w:val="0"/>
          <w:sz w:val="32"/>
          <w:szCs w:val="32"/>
        </w:rPr>
        <w:t>档案等。</w:t>
      </w:r>
    </w:p>
    <w:p w14:paraId="061BEBFF">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sz w:val="32"/>
          <w:szCs w:val="32"/>
          <w:lang w:val="en-US" w:eastAsia="zh-CN"/>
        </w:rPr>
      </w:pPr>
      <w:r>
        <w:rPr>
          <w:rFonts w:hint="eastAsia" w:ascii="仿宋" w:hAnsi="仿宋" w:eastAsia="仿宋" w:cs="仿宋"/>
          <w:b/>
          <w:bCs/>
          <w:sz w:val="32"/>
          <w:szCs w:val="32"/>
        </w:rPr>
        <w:t>第</w:t>
      </w:r>
      <w:r>
        <w:rPr>
          <w:rFonts w:hint="eastAsia" w:ascii="仿宋" w:hAnsi="仿宋" w:eastAsia="仿宋" w:cs="仿宋"/>
          <w:b/>
          <w:bCs/>
          <w:sz w:val="32"/>
          <w:szCs w:val="32"/>
          <w:lang w:val="en-US" w:eastAsia="zh-CN"/>
        </w:rPr>
        <w:t>六</w:t>
      </w:r>
      <w:r>
        <w:rPr>
          <w:rFonts w:hint="eastAsia" w:ascii="仿宋" w:hAnsi="仿宋" w:eastAsia="仿宋" w:cs="仿宋"/>
          <w:b/>
          <w:bCs/>
          <w:sz w:val="32"/>
          <w:szCs w:val="32"/>
        </w:rPr>
        <w:t>条  养护工作人员配备</w:t>
      </w:r>
      <w:r>
        <w:rPr>
          <w:rFonts w:hint="eastAsia" w:ascii="仿宋" w:hAnsi="仿宋" w:eastAsia="仿宋" w:cs="仿宋"/>
          <w:b/>
          <w:bCs/>
          <w:sz w:val="32"/>
          <w:szCs w:val="32"/>
          <w:lang w:val="en-US" w:eastAsia="zh-CN"/>
        </w:rPr>
        <w:t>要求</w:t>
      </w:r>
    </w:p>
    <w:p w14:paraId="557F9F8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outlineLvl w:val="9"/>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1、人员配置要求：</w:t>
      </w:r>
    </w:p>
    <w:p w14:paraId="6A8452B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乙方应为本项目配备以下关键岗位人员：</w:t>
      </w:r>
    </w:p>
    <w:p w14:paraId="49B7EF4B">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项目总负责人：1人</w:t>
      </w:r>
      <w:r>
        <w:rPr>
          <w:rFonts w:hint="eastAsia" w:ascii="仿宋" w:hAnsi="仿宋" w:eastAsia="仿宋" w:cs="仿宋"/>
          <w:color w:val="auto"/>
          <w:sz w:val="32"/>
          <w:szCs w:val="32"/>
          <w:lang w:val="en-US" w:eastAsia="zh-CN"/>
        </w:rPr>
        <w:t>，须具备工程类中级及以上职称，全面负责项目的整体协调与管理工作。</w:t>
      </w:r>
    </w:p>
    <w:p w14:paraId="3FB3B455">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技术负责人：1人，负责项目的技术指导、质量控制与技术问题解决。</w:t>
      </w:r>
    </w:p>
    <w:p w14:paraId="5FE6631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绿化养护工人：</w:t>
      </w:r>
      <w:r>
        <w:rPr>
          <w:rFonts w:hint="eastAsia" w:ascii="仿宋" w:hAnsi="仿宋" w:eastAsia="仿宋" w:cs="仿宋"/>
          <w:color w:val="auto"/>
          <w:sz w:val="32"/>
          <w:szCs w:val="32"/>
          <w:lang w:val="en-US" w:eastAsia="zh-CN"/>
        </w:rPr>
        <w:t>按照每6000平方米绿地面积至少配备1人</w:t>
      </w:r>
      <w:r>
        <w:rPr>
          <w:rFonts w:hint="eastAsia" w:ascii="仿宋" w:hAnsi="仿宋" w:eastAsia="仿宋" w:cs="仿宋"/>
          <w:sz w:val="32"/>
          <w:szCs w:val="32"/>
          <w:lang w:val="en-US" w:eastAsia="zh-CN"/>
        </w:rPr>
        <w:t>的标准，确保养护工作的有效实施。</w:t>
      </w:r>
    </w:p>
    <w:p w14:paraId="033B3D0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资料员：1人，负责项目资料的收集、整理、归档及上报工作。</w:t>
      </w:r>
    </w:p>
    <w:p w14:paraId="3B93115B">
      <w:pPr>
        <w:rPr>
          <w:rFonts w:hint="eastAsia" w:ascii="仿宋" w:hAnsi="仿宋" w:eastAsia="仿宋" w:cs="仿宋"/>
          <w:kern w:val="0"/>
          <w:sz w:val="24"/>
          <w:u w:val="single"/>
          <w:lang w:val="en-US" w:eastAsia="zh-CN"/>
        </w:rPr>
      </w:pPr>
      <w:r>
        <w:rPr>
          <w:rFonts w:hint="eastAsia" w:ascii="仿宋" w:hAnsi="仿宋" w:eastAsia="仿宋" w:cs="仿宋"/>
          <w:kern w:val="0"/>
          <w:sz w:val="24"/>
          <w:u w:val="single"/>
          <w:lang w:val="en-US" w:eastAsia="zh-CN"/>
        </w:rPr>
        <w:br w:type="page"/>
      </w:r>
    </w:p>
    <w:p w14:paraId="17D575D5">
      <w:pPr>
        <w:adjustRightInd w:val="0"/>
        <w:snapToGrid w:val="0"/>
        <w:spacing w:line="360" w:lineRule="auto"/>
        <w:ind w:firstLine="567"/>
        <w:jc w:val="center"/>
        <w:rPr>
          <w:rFonts w:hint="eastAsia" w:ascii="仿宋" w:hAnsi="仿宋" w:eastAsia="仿宋" w:cs="仿宋"/>
          <w:kern w:val="0"/>
          <w:sz w:val="24"/>
          <w:szCs w:val="24"/>
        </w:rPr>
      </w:pPr>
      <w:r>
        <w:rPr>
          <w:rFonts w:hint="eastAsia" w:ascii="仿宋" w:hAnsi="仿宋" w:eastAsia="仿宋" w:cs="仿宋"/>
          <w:b w:val="0"/>
          <w:bCs w:val="0"/>
          <w:color w:val="auto"/>
          <w:sz w:val="32"/>
          <w:szCs w:val="32"/>
          <w:u w:val="none"/>
          <w:lang w:eastAsia="zh-CN"/>
        </w:rPr>
        <w:t>202</w:t>
      </w:r>
      <w:r>
        <w:rPr>
          <w:rFonts w:hint="eastAsia" w:ascii="仿宋" w:hAnsi="仿宋" w:eastAsia="仿宋" w:cs="仿宋"/>
          <w:b w:val="0"/>
          <w:bCs w:val="0"/>
          <w:color w:val="auto"/>
          <w:sz w:val="32"/>
          <w:szCs w:val="32"/>
          <w:u w:val="none"/>
          <w:lang w:val="en-US" w:eastAsia="zh-CN"/>
        </w:rPr>
        <w:t>5-2026年度雁塔区南三环市场化养护</w:t>
      </w:r>
      <w:r>
        <w:rPr>
          <w:rFonts w:hint="eastAsia" w:ascii="仿宋" w:hAnsi="仿宋" w:eastAsia="仿宋" w:cs="仿宋"/>
          <w:b w:val="0"/>
          <w:bCs w:val="0"/>
          <w:color w:val="auto"/>
          <w:sz w:val="32"/>
          <w:szCs w:val="32"/>
          <w:u w:val="none"/>
          <w:lang w:eastAsia="zh-CN"/>
        </w:rPr>
        <w:t>（</w:t>
      </w:r>
      <w:r>
        <w:rPr>
          <w:rFonts w:hint="eastAsia" w:ascii="仿宋" w:hAnsi="仿宋" w:eastAsia="仿宋" w:cs="仿宋"/>
          <w:b w:val="0"/>
          <w:bCs w:val="0"/>
          <w:color w:val="auto"/>
          <w:sz w:val="32"/>
          <w:szCs w:val="32"/>
          <w:u w:val="none"/>
          <w:lang w:val="en-US" w:eastAsia="zh-CN"/>
        </w:rPr>
        <w:t>南三环</w:t>
      </w:r>
      <w:r>
        <w:rPr>
          <w:rFonts w:hint="eastAsia" w:ascii="仿宋" w:hAnsi="仿宋" w:eastAsia="仿宋" w:cs="仿宋"/>
          <w:b w:val="0"/>
          <w:bCs w:val="0"/>
          <w:color w:val="auto"/>
          <w:sz w:val="32"/>
          <w:szCs w:val="32"/>
          <w:u w:val="none"/>
          <w:lang w:eastAsia="zh-CN"/>
        </w:rPr>
        <w:t>第</w:t>
      </w:r>
      <w:r>
        <w:rPr>
          <w:rFonts w:hint="eastAsia" w:ascii="仿宋" w:hAnsi="仿宋" w:eastAsia="仿宋" w:cs="仿宋"/>
          <w:b w:val="0"/>
          <w:bCs w:val="0"/>
          <w:color w:val="auto"/>
          <w:sz w:val="32"/>
          <w:szCs w:val="32"/>
          <w:u w:val="none"/>
          <w:lang w:val="en-US" w:eastAsia="zh-CN"/>
        </w:rPr>
        <w:t xml:space="preserve">  </w:t>
      </w:r>
      <w:r>
        <w:rPr>
          <w:rFonts w:hint="eastAsia" w:ascii="仿宋" w:hAnsi="仿宋" w:eastAsia="仿宋" w:cs="仿宋"/>
          <w:b w:val="0"/>
          <w:bCs w:val="0"/>
          <w:color w:val="auto"/>
          <w:sz w:val="32"/>
          <w:szCs w:val="32"/>
          <w:u w:val="none"/>
          <w:lang w:eastAsia="zh-CN"/>
        </w:rPr>
        <w:t>包）</w:t>
      </w:r>
      <w:r>
        <w:rPr>
          <w:rFonts w:hint="eastAsia" w:ascii="仿宋" w:hAnsi="仿宋" w:eastAsia="仿宋" w:cs="仿宋"/>
          <w:kern w:val="0"/>
          <w:sz w:val="24"/>
          <w:szCs w:val="24"/>
          <w:lang w:val="en-US" w:eastAsia="zh-CN"/>
        </w:rPr>
        <w:t>管理服务人员配置表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6"/>
        <w:gridCol w:w="1698"/>
        <w:gridCol w:w="1494"/>
        <w:gridCol w:w="2952"/>
        <w:gridCol w:w="1486"/>
      </w:tblGrid>
      <w:tr w14:paraId="530A2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jc w:val="center"/>
        </w:trPr>
        <w:tc>
          <w:tcPr>
            <w:tcW w:w="806" w:type="dxa"/>
            <w:noWrap w:val="0"/>
            <w:vAlign w:val="center"/>
          </w:tcPr>
          <w:p w14:paraId="0F863F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rPr>
              <w:t>序号</w:t>
            </w:r>
          </w:p>
        </w:tc>
        <w:tc>
          <w:tcPr>
            <w:tcW w:w="1698" w:type="dxa"/>
            <w:noWrap w:val="0"/>
            <w:vAlign w:val="center"/>
          </w:tcPr>
          <w:p w14:paraId="311B4D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rPr>
              <w:t>技术职称</w:t>
            </w:r>
          </w:p>
        </w:tc>
        <w:tc>
          <w:tcPr>
            <w:tcW w:w="1494" w:type="dxa"/>
            <w:noWrap w:val="0"/>
            <w:vAlign w:val="center"/>
          </w:tcPr>
          <w:p w14:paraId="49269B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val="en-US" w:eastAsia="zh-CN"/>
              </w:rPr>
            </w:pPr>
            <w:r>
              <w:rPr>
                <w:rFonts w:hint="eastAsia" w:ascii="仿宋" w:hAnsi="仿宋" w:eastAsia="仿宋" w:cs="仿宋"/>
                <w:kern w:val="0"/>
                <w:sz w:val="24"/>
                <w:szCs w:val="24"/>
                <w:lang w:val="en-US" w:eastAsia="zh-CN"/>
              </w:rPr>
              <w:t>姓名</w:t>
            </w:r>
          </w:p>
        </w:tc>
        <w:tc>
          <w:tcPr>
            <w:tcW w:w="2952" w:type="dxa"/>
            <w:noWrap w:val="0"/>
            <w:vAlign w:val="center"/>
          </w:tcPr>
          <w:p w14:paraId="6F1880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身份证号码</w:t>
            </w:r>
          </w:p>
        </w:tc>
        <w:tc>
          <w:tcPr>
            <w:tcW w:w="1486" w:type="dxa"/>
            <w:noWrap w:val="0"/>
            <w:vAlign w:val="center"/>
          </w:tcPr>
          <w:p w14:paraId="00EFB3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val="en-US" w:eastAsia="zh-CN"/>
              </w:rPr>
            </w:pPr>
            <w:r>
              <w:rPr>
                <w:rFonts w:hint="eastAsia" w:ascii="仿宋" w:hAnsi="仿宋" w:eastAsia="仿宋" w:cs="仿宋"/>
                <w:kern w:val="0"/>
                <w:sz w:val="24"/>
                <w:szCs w:val="24"/>
                <w:lang w:val="en-US" w:eastAsia="zh-CN"/>
              </w:rPr>
              <w:t>联系方式</w:t>
            </w:r>
          </w:p>
        </w:tc>
      </w:tr>
      <w:tr w14:paraId="09A60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806" w:type="dxa"/>
            <w:noWrap w:val="0"/>
            <w:vAlign w:val="center"/>
          </w:tcPr>
          <w:p w14:paraId="25F78E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rPr>
              <w:t>1</w:t>
            </w:r>
          </w:p>
        </w:tc>
        <w:tc>
          <w:tcPr>
            <w:tcW w:w="1698" w:type="dxa"/>
            <w:noWrap w:val="0"/>
            <w:vAlign w:val="center"/>
          </w:tcPr>
          <w:p w14:paraId="562C99E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eastAsia="zh-CN"/>
              </w:rPr>
            </w:pPr>
            <w:r>
              <w:rPr>
                <w:rFonts w:hint="eastAsia" w:ascii="仿宋" w:hAnsi="仿宋" w:eastAsia="仿宋" w:cs="仿宋"/>
                <w:kern w:val="0"/>
                <w:sz w:val="24"/>
                <w:szCs w:val="24"/>
              </w:rPr>
              <w:t>项目</w:t>
            </w:r>
            <w:r>
              <w:rPr>
                <w:rFonts w:hint="eastAsia" w:ascii="仿宋" w:hAnsi="仿宋" w:eastAsia="仿宋" w:cs="仿宋"/>
                <w:kern w:val="0"/>
                <w:sz w:val="24"/>
                <w:szCs w:val="24"/>
                <w:lang w:val="en-US" w:eastAsia="zh-CN"/>
              </w:rPr>
              <w:t>负责人</w:t>
            </w:r>
          </w:p>
        </w:tc>
        <w:tc>
          <w:tcPr>
            <w:tcW w:w="1494" w:type="dxa"/>
            <w:noWrap w:val="0"/>
            <w:vAlign w:val="top"/>
          </w:tcPr>
          <w:p w14:paraId="0D140A77">
            <w:pPr>
              <w:pStyle w:val="19"/>
              <w:spacing w:before="161" w:line="219" w:lineRule="auto"/>
              <w:jc w:val="center"/>
              <w:rPr>
                <w:rFonts w:hint="eastAsia" w:ascii="仿宋" w:hAnsi="仿宋" w:eastAsia="仿宋" w:cs="仿宋"/>
                <w:spacing w:val="-4"/>
                <w:sz w:val="24"/>
                <w:szCs w:val="24"/>
                <w:lang w:val="en-US" w:eastAsia="zh-CN" w:bidi="ar-SA"/>
              </w:rPr>
            </w:pPr>
          </w:p>
        </w:tc>
        <w:tc>
          <w:tcPr>
            <w:tcW w:w="2952" w:type="dxa"/>
            <w:noWrap w:val="0"/>
            <w:vAlign w:val="top"/>
          </w:tcPr>
          <w:p w14:paraId="12A1E9C4">
            <w:pPr>
              <w:pStyle w:val="19"/>
              <w:spacing w:before="161" w:line="220" w:lineRule="auto"/>
              <w:ind w:left="0" w:leftChars="0"/>
              <w:jc w:val="center"/>
              <w:rPr>
                <w:rFonts w:hint="eastAsia" w:ascii="仿宋" w:hAnsi="仿宋" w:eastAsia="仿宋" w:cs="仿宋"/>
                <w:spacing w:val="-4"/>
                <w:sz w:val="24"/>
                <w:szCs w:val="24"/>
                <w:lang w:val="en-US" w:eastAsia="en-US" w:bidi="ar-SA"/>
              </w:rPr>
            </w:pPr>
          </w:p>
        </w:tc>
        <w:tc>
          <w:tcPr>
            <w:tcW w:w="1486" w:type="dxa"/>
            <w:noWrap w:val="0"/>
            <w:vAlign w:val="top"/>
          </w:tcPr>
          <w:p w14:paraId="4E4D2F70">
            <w:pPr>
              <w:pStyle w:val="19"/>
              <w:spacing w:before="160" w:line="222" w:lineRule="auto"/>
              <w:ind w:left="0" w:leftChars="0"/>
              <w:jc w:val="center"/>
              <w:rPr>
                <w:rFonts w:hint="eastAsia" w:ascii="仿宋" w:hAnsi="仿宋" w:eastAsia="仿宋" w:cs="仿宋"/>
                <w:spacing w:val="-7"/>
                <w:sz w:val="24"/>
                <w:szCs w:val="24"/>
                <w:lang w:val="en-US" w:eastAsia="zh-CN" w:bidi="ar-SA"/>
              </w:rPr>
            </w:pPr>
          </w:p>
        </w:tc>
      </w:tr>
      <w:tr w14:paraId="6ACE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806" w:type="dxa"/>
            <w:noWrap w:val="0"/>
            <w:vAlign w:val="center"/>
          </w:tcPr>
          <w:p w14:paraId="00CC90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rPr>
              <w:t>2</w:t>
            </w:r>
          </w:p>
        </w:tc>
        <w:tc>
          <w:tcPr>
            <w:tcW w:w="1698" w:type="dxa"/>
            <w:noWrap w:val="0"/>
            <w:vAlign w:val="center"/>
          </w:tcPr>
          <w:p w14:paraId="0C2DDE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eastAsia="zh-CN"/>
              </w:rPr>
            </w:pPr>
            <w:r>
              <w:rPr>
                <w:rFonts w:hint="eastAsia" w:ascii="仿宋" w:hAnsi="仿宋" w:eastAsia="仿宋" w:cs="仿宋"/>
                <w:kern w:val="0"/>
                <w:sz w:val="24"/>
                <w:szCs w:val="24"/>
              </w:rPr>
              <w:t>技术</w:t>
            </w:r>
            <w:r>
              <w:rPr>
                <w:rFonts w:hint="eastAsia" w:ascii="仿宋" w:hAnsi="仿宋" w:eastAsia="仿宋" w:cs="仿宋"/>
                <w:kern w:val="0"/>
                <w:sz w:val="24"/>
                <w:szCs w:val="24"/>
                <w:lang w:val="en-US" w:eastAsia="zh-CN"/>
              </w:rPr>
              <w:t>负责人</w:t>
            </w:r>
          </w:p>
        </w:tc>
        <w:tc>
          <w:tcPr>
            <w:tcW w:w="1494" w:type="dxa"/>
            <w:noWrap w:val="0"/>
            <w:vAlign w:val="top"/>
          </w:tcPr>
          <w:p w14:paraId="407F3FF5">
            <w:pPr>
              <w:pStyle w:val="19"/>
              <w:spacing w:before="161" w:line="219" w:lineRule="auto"/>
              <w:jc w:val="center"/>
              <w:rPr>
                <w:rFonts w:hint="eastAsia" w:ascii="仿宋" w:hAnsi="仿宋" w:eastAsia="仿宋" w:cs="仿宋"/>
                <w:spacing w:val="-4"/>
                <w:sz w:val="24"/>
                <w:szCs w:val="24"/>
                <w:lang w:val="en-US" w:eastAsia="en-US" w:bidi="ar-SA"/>
              </w:rPr>
            </w:pPr>
          </w:p>
        </w:tc>
        <w:tc>
          <w:tcPr>
            <w:tcW w:w="2952" w:type="dxa"/>
            <w:noWrap w:val="0"/>
            <w:vAlign w:val="top"/>
          </w:tcPr>
          <w:p w14:paraId="684FE33A">
            <w:pPr>
              <w:pStyle w:val="19"/>
              <w:spacing w:before="161" w:line="220" w:lineRule="auto"/>
              <w:ind w:left="0" w:leftChars="0"/>
              <w:jc w:val="center"/>
              <w:rPr>
                <w:rFonts w:hint="eastAsia" w:ascii="仿宋" w:hAnsi="仿宋" w:eastAsia="仿宋" w:cs="仿宋"/>
                <w:spacing w:val="-4"/>
                <w:sz w:val="24"/>
                <w:szCs w:val="24"/>
                <w:lang w:val="en-US" w:eastAsia="en-US" w:bidi="ar-SA"/>
              </w:rPr>
            </w:pPr>
          </w:p>
        </w:tc>
        <w:tc>
          <w:tcPr>
            <w:tcW w:w="1486" w:type="dxa"/>
            <w:noWrap w:val="0"/>
            <w:vAlign w:val="top"/>
          </w:tcPr>
          <w:p w14:paraId="5F3C4B48">
            <w:pPr>
              <w:pStyle w:val="19"/>
              <w:spacing w:before="160" w:line="222" w:lineRule="auto"/>
              <w:ind w:left="0" w:leftChars="0"/>
              <w:jc w:val="center"/>
              <w:rPr>
                <w:rFonts w:hint="eastAsia" w:ascii="仿宋" w:hAnsi="仿宋" w:eastAsia="仿宋" w:cs="仿宋"/>
                <w:spacing w:val="-4"/>
                <w:sz w:val="24"/>
                <w:szCs w:val="24"/>
                <w:lang w:val="en-US" w:eastAsia="en-US" w:bidi="ar-SA"/>
              </w:rPr>
            </w:pPr>
          </w:p>
        </w:tc>
      </w:tr>
      <w:tr w14:paraId="72468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jc w:val="center"/>
        </w:trPr>
        <w:tc>
          <w:tcPr>
            <w:tcW w:w="806" w:type="dxa"/>
            <w:noWrap w:val="0"/>
            <w:vAlign w:val="center"/>
          </w:tcPr>
          <w:p w14:paraId="424376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rPr>
            </w:pPr>
            <w:r>
              <w:rPr>
                <w:rFonts w:hint="eastAsia" w:ascii="仿宋" w:hAnsi="仿宋" w:eastAsia="仿宋" w:cs="仿宋"/>
                <w:kern w:val="0"/>
                <w:sz w:val="24"/>
                <w:szCs w:val="24"/>
              </w:rPr>
              <w:t>3</w:t>
            </w:r>
          </w:p>
        </w:tc>
        <w:tc>
          <w:tcPr>
            <w:tcW w:w="1698" w:type="dxa"/>
            <w:noWrap w:val="0"/>
            <w:vAlign w:val="center"/>
          </w:tcPr>
          <w:p w14:paraId="3C5B5A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val="en-US" w:eastAsia="zh-CN"/>
              </w:rPr>
            </w:pPr>
            <w:r>
              <w:rPr>
                <w:rFonts w:hint="eastAsia" w:ascii="仿宋" w:hAnsi="仿宋" w:eastAsia="仿宋" w:cs="仿宋"/>
                <w:kern w:val="0"/>
                <w:sz w:val="24"/>
                <w:szCs w:val="24"/>
                <w:lang w:val="en-US" w:eastAsia="zh-CN"/>
              </w:rPr>
              <w:t>绿化工程师</w:t>
            </w:r>
          </w:p>
        </w:tc>
        <w:tc>
          <w:tcPr>
            <w:tcW w:w="1494" w:type="dxa"/>
            <w:noWrap w:val="0"/>
            <w:vAlign w:val="top"/>
          </w:tcPr>
          <w:p w14:paraId="490F4541">
            <w:pPr>
              <w:pStyle w:val="19"/>
              <w:spacing w:before="161" w:line="219" w:lineRule="auto"/>
              <w:jc w:val="center"/>
              <w:rPr>
                <w:rFonts w:hint="eastAsia" w:ascii="仿宋" w:hAnsi="仿宋" w:eastAsia="仿宋" w:cs="仿宋"/>
                <w:spacing w:val="-4"/>
                <w:sz w:val="24"/>
                <w:szCs w:val="24"/>
                <w:lang w:val="en-US" w:eastAsia="en-US" w:bidi="ar-SA"/>
              </w:rPr>
            </w:pPr>
          </w:p>
        </w:tc>
        <w:tc>
          <w:tcPr>
            <w:tcW w:w="2952" w:type="dxa"/>
            <w:noWrap w:val="0"/>
            <w:vAlign w:val="top"/>
          </w:tcPr>
          <w:p w14:paraId="2C162A10">
            <w:pPr>
              <w:pStyle w:val="19"/>
              <w:spacing w:before="161" w:line="220" w:lineRule="auto"/>
              <w:ind w:left="0" w:leftChars="0"/>
              <w:jc w:val="center"/>
              <w:rPr>
                <w:rFonts w:hint="eastAsia" w:ascii="仿宋" w:hAnsi="仿宋" w:eastAsia="仿宋" w:cs="仿宋"/>
                <w:spacing w:val="-4"/>
                <w:sz w:val="24"/>
                <w:szCs w:val="24"/>
                <w:lang w:val="en-US" w:eastAsia="en-US" w:bidi="ar-SA"/>
              </w:rPr>
            </w:pPr>
          </w:p>
        </w:tc>
        <w:tc>
          <w:tcPr>
            <w:tcW w:w="1486" w:type="dxa"/>
            <w:noWrap w:val="0"/>
            <w:vAlign w:val="top"/>
          </w:tcPr>
          <w:p w14:paraId="66E7091D">
            <w:pPr>
              <w:pStyle w:val="19"/>
              <w:spacing w:before="160" w:line="222" w:lineRule="auto"/>
              <w:ind w:left="0" w:leftChars="0"/>
              <w:jc w:val="center"/>
              <w:rPr>
                <w:rFonts w:hint="eastAsia" w:ascii="仿宋" w:hAnsi="仿宋" w:eastAsia="仿宋" w:cs="仿宋"/>
                <w:spacing w:val="-4"/>
                <w:sz w:val="24"/>
                <w:szCs w:val="24"/>
                <w:lang w:val="en-US" w:eastAsia="en-US" w:bidi="ar-SA"/>
              </w:rPr>
            </w:pPr>
          </w:p>
        </w:tc>
      </w:tr>
      <w:tr w14:paraId="12398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806" w:type="dxa"/>
            <w:noWrap w:val="0"/>
            <w:vAlign w:val="center"/>
          </w:tcPr>
          <w:p w14:paraId="74BD81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val="en-US" w:eastAsia="zh-CN"/>
              </w:rPr>
            </w:pPr>
            <w:r>
              <w:rPr>
                <w:rFonts w:hint="eastAsia" w:ascii="仿宋" w:hAnsi="仿宋" w:eastAsia="仿宋" w:cs="仿宋"/>
                <w:kern w:val="0"/>
                <w:sz w:val="24"/>
                <w:szCs w:val="24"/>
                <w:lang w:val="en-US" w:eastAsia="zh-CN"/>
              </w:rPr>
              <w:t>4</w:t>
            </w:r>
          </w:p>
        </w:tc>
        <w:tc>
          <w:tcPr>
            <w:tcW w:w="1698" w:type="dxa"/>
            <w:noWrap w:val="0"/>
            <w:vAlign w:val="center"/>
          </w:tcPr>
          <w:p w14:paraId="52C7B4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szCs w:val="24"/>
                <w:lang w:val="en-US" w:eastAsia="zh-CN"/>
              </w:rPr>
            </w:pPr>
            <w:r>
              <w:rPr>
                <w:rFonts w:hint="eastAsia" w:ascii="仿宋" w:hAnsi="仿宋" w:eastAsia="仿宋" w:cs="仿宋"/>
                <w:kern w:val="0"/>
                <w:sz w:val="24"/>
                <w:szCs w:val="24"/>
                <w:lang w:val="en-US" w:eastAsia="zh-CN"/>
              </w:rPr>
              <w:t>资料员</w:t>
            </w:r>
          </w:p>
        </w:tc>
        <w:tc>
          <w:tcPr>
            <w:tcW w:w="1494" w:type="dxa"/>
            <w:noWrap w:val="0"/>
            <w:vAlign w:val="top"/>
          </w:tcPr>
          <w:p w14:paraId="78722D0A">
            <w:pPr>
              <w:pStyle w:val="19"/>
              <w:spacing w:before="161" w:line="219" w:lineRule="auto"/>
              <w:jc w:val="center"/>
              <w:rPr>
                <w:rFonts w:hint="eastAsia" w:ascii="仿宋" w:hAnsi="仿宋" w:eastAsia="仿宋" w:cs="仿宋"/>
                <w:spacing w:val="-4"/>
                <w:sz w:val="24"/>
                <w:szCs w:val="24"/>
                <w:lang w:val="en-US" w:eastAsia="zh-CN" w:bidi="ar-SA"/>
              </w:rPr>
            </w:pPr>
          </w:p>
        </w:tc>
        <w:tc>
          <w:tcPr>
            <w:tcW w:w="2952" w:type="dxa"/>
            <w:noWrap w:val="0"/>
            <w:vAlign w:val="top"/>
          </w:tcPr>
          <w:p w14:paraId="1ACC5308">
            <w:pPr>
              <w:pStyle w:val="19"/>
              <w:spacing w:before="161" w:line="220" w:lineRule="auto"/>
              <w:ind w:left="0" w:leftChars="0"/>
              <w:jc w:val="center"/>
              <w:rPr>
                <w:rFonts w:hint="eastAsia" w:ascii="仿宋" w:hAnsi="仿宋" w:eastAsia="仿宋" w:cs="仿宋"/>
                <w:spacing w:val="-4"/>
                <w:sz w:val="24"/>
                <w:szCs w:val="24"/>
                <w:lang w:val="en-US" w:eastAsia="zh-CN" w:bidi="ar-SA"/>
              </w:rPr>
            </w:pPr>
          </w:p>
        </w:tc>
        <w:tc>
          <w:tcPr>
            <w:tcW w:w="1486" w:type="dxa"/>
            <w:noWrap w:val="0"/>
            <w:vAlign w:val="top"/>
          </w:tcPr>
          <w:p w14:paraId="2412D53E">
            <w:pPr>
              <w:pStyle w:val="19"/>
              <w:spacing w:before="160" w:line="222" w:lineRule="auto"/>
              <w:ind w:left="0" w:leftChars="0"/>
              <w:jc w:val="center"/>
              <w:rPr>
                <w:rFonts w:hint="eastAsia" w:ascii="仿宋" w:hAnsi="仿宋" w:eastAsia="仿宋" w:cs="仿宋"/>
                <w:spacing w:val="-4"/>
                <w:sz w:val="24"/>
                <w:szCs w:val="24"/>
                <w:lang w:val="en-US" w:eastAsia="zh-CN" w:bidi="ar-SA"/>
              </w:rPr>
            </w:pPr>
          </w:p>
        </w:tc>
      </w:tr>
    </w:tbl>
    <w:p w14:paraId="402BF6D5">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2、人员更换限制：</w:t>
      </w:r>
    </w:p>
    <w:p w14:paraId="14235A51">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在合同履行期间，未经甲方书面同意，乙方不得擅自更换上述项目总负责人、技术负责人、绿化工程师。任何未经许可的人员更换，视为乙方违约。</w:t>
      </w:r>
    </w:p>
    <w:p w14:paraId="1035550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3、违约责任：</w:t>
      </w:r>
    </w:p>
    <w:p w14:paraId="5ABA761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如乙方未经甲方同意擅自更换上述关键岗位</w:t>
      </w:r>
      <w:r>
        <w:rPr>
          <w:rFonts w:hint="eastAsia" w:ascii="仿宋" w:hAnsi="仿宋" w:eastAsia="仿宋" w:cs="仿宋"/>
          <w:color w:val="auto"/>
          <w:sz w:val="32"/>
          <w:szCs w:val="32"/>
          <w:lang w:val="en-US" w:eastAsia="zh-CN"/>
        </w:rPr>
        <w:t>人员，每更换一人，甲方有权从乙方当季度养护费中扣除人民币3000元作为</w:t>
      </w:r>
      <w:r>
        <w:rPr>
          <w:rFonts w:hint="eastAsia" w:ascii="仿宋" w:hAnsi="仿宋" w:eastAsia="仿宋" w:cs="仿宋"/>
          <w:sz w:val="32"/>
          <w:szCs w:val="32"/>
          <w:lang w:val="en-US" w:eastAsia="zh-CN"/>
        </w:rPr>
        <w:t>违约金。</w:t>
      </w:r>
    </w:p>
    <w:p w14:paraId="04F077D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4、甲方要求更换：</w:t>
      </w:r>
    </w:p>
    <w:p w14:paraId="2AFD20A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在合同履行期间，如甲方认为项目总负责人、技术负责人、绿化工程师在工作中存在严重失职、不胜任岗位要求或严重影响项目进展等情况，甲方有权书面提出更换要求。</w:t>
      </w:r>
    </w:p>
    <w:p w14:paraId="36EFF65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5、乙方响应与违约责任：</w:t>
      </w:r>
    </w:p>
    <w:p w14:paraId="520DD80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乙方在收到甲方更换要求后，应在15个自然日内无条件完成人员更换，并确保新任人员具备相应岗位所需的专业技能与工作经验。</w:t>
      </w:r>
    </w:p>
    <w:p w14:paraId="268F237C">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如乙方未能在规定期限内完成人员更换，每超期一天，甲方有权从乙方当季度养护费</w:t>
      </w:r>
      <w:r>
        <w:rPr>
          <w:rFonts w:hint="eastAsia" w:ascii="仿宋" w:hAnsi="仿宋" w:eastAsia="仿宋" w:cs="仿宋"/>
          <w:color w:val="auto"/>
          <w:sz w:val="32"/>
          <w:szCs w:val="32"/>
          <w:lang w:val="en-US" w:eastAsia="zh-CN"/>
        </w:rPr>
        <w:t>中扣除人民币300元作为违约金</w:t>
      </w:r>
      <w:r>
        <w:rPr>
          <w:rFonts w:hint="eastAsia" w:ascii="仿宋" w:hAnsi="仿宋" w:eastAsia="仿宋" w:cs="仿宋"/>
          <w:sz w:val="32"/>
          <w:szCs w:val="32"/>
          <w:lang w:val="en-US" w:eastAsia="zh-CN"/>
        </w:rPr>
        <w:t>，直至人员更换完成。</w:t>
      </w:r>
    </w:p>
    <w:p w14:paraId="5FBB965A">
      <w:pPr>
        <w:keepNext w:val="0"/>
        <w:keepLines w:val="0"/>
        <w:pageBreakBefore w:val="0"/>
        <w:numPr>
          <w:ilvl w:val="0"/>
          <w:numId w:val="0"/>
        </w:numPr>
        <w:kinsoku/>
        <w:overflowPunct/>
        <w:topLinePunct w:val="0"/>
        <w:autoSpaceDE/>
        <w:autoSpaceDN/>
        <w:bidi w:val="0"/>
        <w:adjustRightInd w:val="0"/>
        <w:snapToGrid w:val="0"/>
        <w:spacing w:line="560" w:lineRule="exact"/>
        <w:ind w:firstLine="567" w:firstLineChars="0"/>
        <w:textAlignment w:val="auto"/>
        <w:outlineLvl w:val="1"/>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bidi="ar-SA"/>
        </w:rPr>
        <w:t xml:space="preserve">第七条  </w:t>
      </w:r>
      <w:r>
        <w:rPr>
          <w:rFonts w:hint="eastAsia" w:ascii="仿宋" w:hAnsi="仿宋" w:eastAsia="仿宋" w:cs="仿宋"/>
          <w:b/>
          <w:bCs/>
          <w:sz w:val="32"/>
          <w:szCs w:val="32"/>
          <w:highlight w:val="none"/>
          <w:lang w:val="en-US" w:eastAsia="zh-CN"/>
        </w:rPr>
        <w:t>养护工作机械、车辆、工具等配备要求</w:t>
      </w:r>
    </w:p>
    <w:p w14:paraId="6906D7A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乙方应为本项目配备以下车辆、机械及其他完成园林绿化养护工作所需的工具：</w:t>
      </w:r>
    </w:p>
    <w:p w14:paraId="530AB192">
      <w:pPr>
        <w:pStyle w:val="2"/>
        <w:rPr>
          <w:rFonts w:hint="eastAsia" w:ascii="仿宋" w:hAnsi="仿宋" w:eastAsia="仿宋" w:cs="仿宋"/>
          <w:lang w:val="en-US" w:eastAsia="zh-CN"/>
        </w:rPr>
      </w:pPr>
    </w:p>
    <w:p w14:paraId="0C183FB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1.水车不少于1辆</w:t>
      </w:r>
    </w:p>
    <w:p w14:paraId="5424EC9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2.打药车不少于1辆</w:t>
      </w:r>
    </w:p>
    <w:p w14:paraId="2E23357B">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3.垃圾车不少于1辆</w:t>
      </w:r>
    </w:p>
    <w:p w14:paraId="27A43AE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4.绿篱机不少于5台</w:t>
      </w:r>
    </w:p>
    <w:p w14:paraId="323D4B41">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5.高枝油锯不少于2台</w:t>
      </w:r>
    </w:p>
    <w:p w14:paraId="0C0C00BC">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6.油锯不少于6台</w:t>
      </w:r>
    </w:p>
    <w:p w14:paraId="089ED6A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7.打边机不少于3台</w:t>
      </w:r>
    </w:p>
    <w:p w14:paraId="180BC4AF">
      <w:pPr>
        <w:pStyle w:val="2"/>
        <w:rPr>
          <w:rFonts w:hint="eastAsia" w:ascii="仿宋" w:hAnsi="仿宋" w:eastAsia="仿宋" w:cs="仿宋"/>
          <w:sz w:val="32"/>
          <w:szCs w:val="32"/>
          <w:lang w:val="en-US" w:eastAsia="zh-CN"/>
        </w:rPr>
      </w:pPr>
    </w:p>
    <w:p w14:paraId="5E2AA462">
      <w:pPr>
        <w:pStyle w:val="2"/>
        <w:rPr>
          <w:rFonts w:hint="eastAsia" w:ascii="仿宋" w:hAnsi="仿宋" w:eastAsia="仿宋" w:cs="仿宋"/>
          <w:sz w:val="32"/>
          <w:szCs w:val="32"/>
          <w:lang w:val="en-US" w:eastAsia="zh-CN"/>
        </w:rPr>
      </w:pPr>
    </w:p>
    <w:p w14:paraId="51DA8CA1">
      <w:pPr>
        <w:pStyle w:val="2"/>
        <w:rPr>
          <w:rFonts w:hint="eastAsia" w:ascii="仿宋" w:hAnsi="仿宋" w:eastAsia="仿宋" w:cs="仿宋"/>
          <w:sz w:val="32"/>
          <w:szCs w:val="32"/>
          <w:lang w:val="en-US" w:eastAsia="zh-CN"/>
        </w:rPr>
      </w:pPr>
    </w:p>
    <w:p w14:paraId="520BFF00">
      <w:pPr>
        <w:pStyle w:val="2"/>
        <w:rPr>
          <w:rFonts w:hint="eastAsia" w:ascii="仿宋" w:hAnsi="仿宋" w:eastAsia="仿宋" w:cs="仿宋"/>
          <w:sz w:val="32"/>
          <w:szCs w:val="32"/>
          <w:lang w:val="en-US" w:eastAsia="zh-CN"/>
        </w:rPr>
      </w:pPr>
    </w:p>
    <w:p w14:paraId="4C5CDEB1">
      <w:pPr>
        <w:pStyle w:val="2"/>
        <w:rPr>
          <w:rFonts w:hint="eastAsia" w:ascii="仿宋" w:hAnsi="仿宋" w:eastAsia="仿宋" w:cs="仿宋"/>
          <w:sz w:val="32"/>
          <w:szCs w:val="32"/>
          <w:lang w:val="en-US" w:eastAsia="zh-CN"/>
        </w:rPr>
      </w:pPr>
    </w:p>
    <w:p w14:paraId="189C0099">
      <w:pPr>
        <w:pStyle w:val="2"/>
        <w:rPr>
          <w:rFonts w:hint="eastAsia" w:ascii="仿宋" w:hAnsi="仿宋" w:eastAsia="仿宋" w:cs="仿宋"/>
          <w:sz w:val="32"/>
          <w:szCs w:val="32"/>
          <w:lang w:val="en-US" w:eastAsia="zh-CN"/>
        </w:rPr>
      </w:pPr>
    </w:p>
    <w:p w14:paraId="60668300">
      <w:pPr>
        <w:pStyle w:val="2"/>
        <w:rPr>
          <w:rFonts w:hint="eastAsia" w:ascii="仿宋" w:hAnsi="仿宋" w:eastAsia="仿宋" w:cs="仿宋"/>
          <w:sz w:val="32"/>
          <w:szCs w:val="32"/>
          <w:lang w:val="en-US" w:eastAsia="zh-CN"/>
        </w:rPr>
      </w:pPr>
    </w:p>
    <w:p w14:paraId="51EC4B51">
      <w:pPr>
        <w:pStyle w:val="2"/>
        <w:rPr>
          <w:rFonts w:hint="eastAsia" w:ascii="仿宋" w:hAnsi="仿宋" w:eastAsia="仿宋" w:cs="仿宋"/>
          <w:sz w:val="32"/>
          <w:szCs w:val="32"/>
          <w:lang w:val="en-US" w:eastAsia="zh-CN"/>
        </w:rPr>
      </w:pPr>
    </w:p>
    <w:p w14:paraId="1E300FA0">
      <w:pPr>
        <w:pStyle w:val="2"/>
        <w:rPr>
          <w:rFonts w:hint="eastAsia" w:ascii="仿宋" w:hAnsi="仿宋" w:eastAsia="仿宋" w:cs="仿宋"/>
          <w:sz w:val="32"/>
          <w:szCs w:val="32"/>
          <w:lang w:val="en-US" w:eastAsia="zh-CN"/>
        </w:rPr>
      </w:pPr>
    </w:p>
    <w:p w14:paraId="6E703B0C">
      <w:pPr>
        <w:pStyle w:val="2"/>
        <w:rPr>
          <w:rFonts w:hint="eastAsia" w:ascii="仿宋" w:hAnsi="仿宋" w:eastAsia="仿宋" w:cs="仿宋"/>
          <w:sz w:val="32"/>
          <w:szCs w:val="32"/>
          <w:lang w:val="en-US" w:eastAsia="zh-CN"/>
        </w:rPr>
      </w:pPr>
    </w:p>
    <w:p w14:paraId="77A48533">
      <w:pPr>
        <w:pStyle w:val="2"/>
        <w:rPr>
          <w:rFonts w:hint="eastAsia" w:ascii="仿宋" w:hAnsi="仿宋" w:eastAsia="仿宋" w:cs="仿宋"/>
          <w:sz w:val="32"/>
          <w:szCs w:val="32"/>
          <w:lang w:val="en-US" w:eastAsia="zh-CN"/>
        </w:rPr>
      </w:pPr>
    </w:p>
    <w:p w14:paraId="72300E37">
      <w:pPr>
        <w:pStyle w:val="2"/>
        <w:rPr>
          <w:rFonts w:hint="eastAsia" w:ascii="仿宋" w:hAnsi="仿宋" w:eastAsia="仿宋" w:cs="仿宋"/>
          <w:sz w:val="32"/>
          <w:szCs w:val="32"/>
          <w:lang w:val="en-US" w:eastAsia="zh-CN"/>
        </w:rPr>
      </w:pPr>
    </w:p>
    <w:p w14:paraId="33C92364">
      <w:pPr>
        <w:pStyle w:val="2"/>
        <w:rPr>
          <w:rFonts w:hint="eastAsia" w:ascii="仿宋" w:hAnsi="仿宋" w:eastAsia="仿宋" w:cs="仿宋"/>
          <w:sz w:val="32"/>
          <w:szCs w:val="32"/>
          <w:lang w:val="en-US" w:eastAsia="zh-CN"/>
        </w:rPr>
      </w:pPr>
    </w:p>
    <w:tbl>
      <w:tblPr>
        <w:tblStyle w:val="10"/>
        <w:tblW w:w="89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584"/>
        <w:gridCol w:w="2257"/>
        <w:gridCol w:w="2257"/>
        <w:gridCol w:w="2257"/>
      </w:tblGrid>
      <w:tr w14:paraId="4F286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641" w:type="dxa"/>
            <w:noWrap w:val="0"/>
            <w:vAlign w:val="center"/>
          </w:tcPr>
          <w:p w14:paraId="101522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b/>
                <w:bCs/>
                <w:kern w:val="0"/>
                <w:sz w:val="24"/>
                <w:lang w:val="en-US" w:eastAsia="zh-CN"/>
              </w:rPr>
            </w:pPr>
            <w:r>
              <w:rPr>
                <w:rFonts w:hint="eastAsia" w:ascii="仿宋" w:hAnsi="仿宋" w:eastAsia="仿宋" w:cs="仿宋"/>
                <w:b/>
                <w:bCs/>
                <w:kern w:val="0"/>
                <w:sz w:val="24"/>
                <w:lang w:val="en-US" w:eastAsia="zh-CN"/>
              </w:rPr>
              <w:t>序号</w:t>
            </w:r>
          </w:p>
        </w:tc>
        <w:tc>
          <w:tcPr>
            <w:tcW w:w="1584" w:type="dxa"/>
            <w:noWrap w:val="0"/>
            <w:vAlign w:val="center"/>
          </w:tcPr>
          <w:p w14:paraId="74E010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b/>
                <w:bCs/>
                <w:kern w:val="0"/>
                <w:sz w:val="24"/>
                <w:lang w:val="en-US" w:eastAsia="zh-CN"/>
              </w:rPr>
            </w:pPr>
            <w:r>
              <w:rPr>
                <w:rFonts w:hint="eastAsia" w:ascii="仿宋" w:hAnsi="仿宋" w:eastAsia="仿宋" w:cs="仿宋"/>
                <w:b/>
                <w:bCs/>
                <w:kern w:val="0"/>
                <w:sz w:val="24"/>
                <w:lang w:val="en-US" w:eastAsia="zh-CN"/>
              </w:rPr>
              <w:t>设备名称</w:t>
            </w:r>
          </w:p>
        </w:tc>
        <w:tc>
          <w:tcPr>
            <w:tcW w:w="2257" w:type="dxa"/>
            <w:noWrap w:val="0"/>
            <w:vAlign w:val="center"/>
          </w:tcPr>
          <w:p w14:paraId="20B8BB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b/>
                <w:bCs/>
                <w:kern w:val="0"/>
                <w:sz w:val="24"/>
                <w:lang w:val="en-US" w:eastAsia="zh-CN"/>
              </w:rPr>
            </w:pPr>
            <w:r>
              <w:rPr>
                <w:rFonts w:hint="eastAsia" w:ascii="仿宋" w:hAnsi="仿宋" w:eastAsia="仿宋" w:cs="仿宋"/>
                <w:b/>
                <w:bCs/>
                <w:kern w:val="0"/>
                <w:sz w:val="24"/>
                <w:lang w:val="en-US" w:eastAsia="zh-CN"/>
              </w:rPr>
              <w:t>数量</w:t>
            </w:r>
          </w:p>
        </w:tc>
        <w:tc>
          <w:tcPr>
            <w:tcW w:w="2257" w:type="dxa"/>
            <w:noWrap w:val="0"/>
            <w:vAlign w:val="center"/>
          </w:tcPr>
          <w:p w14:paraId="4F389B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b/>
                <w:bCs/>
                <w:kern w:val="0"/>
                <w:sz w:val="24"/>
                <w:lang w:val="en-US" w:eastAsia="zh-CN"/>
              </w:rPr>
            </w:pPr>
            <w:r>
              <w:rPr>
                <w:rFonts w:hint="eastAsia" w:ascii="仿宋" w:hAnsi="仿宋" w:eastAsia="仿宋" w:cs="仿宋"/>
                <w:b/>
                <w:bCs/>
                <w:kern w:val="0"/>
                <w:sz w:val="24"/>
                <w:lang w:val="en-US" w:eastAsia="zh-CN"/>
              </w:rPr>
              <w:t>车牌号（型号）</w:t>
            </w:r>
          </w:p>
        </w:tc>
        <w:tc>
          <w:tcPr>
            <w:tcW w:w="2257" w:type="dxa"/>
            <w:noWrap w:val="0"/>
            <w:vAlign w:val="center"/>
          </w:tcPr>
          <w:p w14:paraId="12D90D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b/>
                <w:bCs/>
                <w:kern w:val="0"/>
                <w:sz w:val="24"/>
                <w:lang w:val="en-US" w:eastAsia="zh-CN"/>
              </w:rPr>
            </w:pPr>
            <w:r>
              <w:rPr>
                <w:rFonts w:hint="eastAsia" w:ascii="仿宋" w:hAnsi="仿宋" w:eastAsia="仿宋" w:cs="仿宋"/>
                <w:b/>
                <w:bCs/>
                <w:kern w:val="0"/>
                <w:sz w:val="24"/>
                <w:lang w:val="en-US" w:eastAsia="zh-CN"/>
              </w:rPr>
              <w:t>使用年限</w:t>
            </w:r>
          </w:p>
        </w:tc>
      </w:tr>
      <w:tr w14:paraId="7F67B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1" w:hRule="atLeast"/>
          <w:jc w:val="center"/>
        </w:trPr>
        <w:tc>
          <w:tcPr>
            <w:tcW w:w="641" w:type="dxa"/>
            <w:noWrap w:val="0"/>
            <w:vAlign w:val="center"/>
          </w:tcPr>
          <w:p w14:paraId="36DF50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r>
              <w:rPr>
                <w:rFonts w:hint="eastAsia" w:ascii="仿宋" w:hAnsi="仿宋" w:eastAsia="仿宋" w:cs="仿宋"/>
                <w:kern w:val="0"/>
                <w:sz w:val="24"/>
              </w:rPr>
              <w:t>1</w:t>
            </w:r>
          </w:p>
        </w:tc>
        <w:tc>
          <w:tcPr>
            <w:tcW w:w="1584" w:type="dxa"/>
            <w:noWrap w:val="0"/>
            <w:vAlign w:val="center"/>
          </w:tcPr>
          <w:p w14:paraId="26756E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eastAsia="zh-CN"/>
              </w:rPr>
            </w:pPr>
            <w:r>
              <w:rPr>
                <w:rFonts w:hint="eastAsia" w:ascii="仿宋" w:hAnsi="仿宋" w:eastAsia="仿宋" w:cs="仿宋"/>
                <w:kern w:val="0"/>
                <w:sz w:val="24"/>
                <w:lang w:val="en-US" w:eastAsia="zh-CN"/>
              </w:rPr>
              <w:t>水车</w:t>
            </w:r>
          </w:p>
        </w:tc>
        <w:tc>
          <w:tcPr>
            <w:tcW w:w="2257" w:type="dxa"/>
            <w:noWrap w:val="0"/>
            <w:vAlign w:val="center"/>
          </w:tcPr>
          <w:p w14:paraId="2EF0B3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6083F5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1BF60B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4B88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0" w:hRule="atLeast"/>
          <w:jc w:val="center"/>
        </w:trPr>
        <w:tc>
          <w:tcPr>
            <w:tcW w:w="641" w:type="dxa"/>
            <w:noWrap w:val="0"/>
            <w:vAlign w:val="center"/>
          </w:tcPr>
          <w:p w14:paraId="685243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r>
              <w:rPr>
                <w:rFonts w:hint="eastAsia" w:ascii="仿宋" w:hAnsi="仿宋" w:eastAsia="仿宋" w:cs="仿宋"/>
                <w:kern w:val="0"/>
                <w:sz w:val="24"/>
              </w:rPr>
              <w:t>2</w:t>
            </w:r>
          </w:p>
        </w:tc>
        <w:tc>
          <w:tcPr>
            <w:tcW w:w="1584" w:type="dxa"/>
            <w:noWrap w:val="0"/>
            <w:vAlign w:val="center"/>
          </w:tcPr>
          <w:p w14:paraId="4857E8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eastAsia="zh-CN"/>
              </w:rPr>
            </w:pPr>
            <w:r>
              <w:rPr>
                <w:rFonts w:hint="eastAsia" w:ascii="仿宋" w:hAnsi="仿宋" w:eastAsia="仿宋" w:cs="仿宋"/>
                <w:kern w:val="0"/>
                <w:sz w:val="24"/>
                <w:lang w:val="en-US" w:eastAsia="zh-CN"/>
              </w:rPr>
              <w:t>打药车</w:t>
            </w:r>
          </w:p>
        </w:tc>
        <w:tc>
          <w:tcPr>
            <w:tcW w:w="2257" w:type="dxa"/>
            <w:noWrap w:val="0"/>
            <w:vAlign w:val="center"/>
          </w:tcPr>
          <w:p w14:paraId="7A061A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50AED9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5F975D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6FA59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0" w:hRule="atLeast"/>
          <w:jc w:val="center"/>
        </w:trPr>
        <w:tc>
          <w:tcPr>
            <w:tcW w:w="641" w:type="dxa"/>
            <w:noWrap w:val="0"/>
            <w:vAlign w:val="center"/>
          </w:tcPr>
          <w:p w14:paraId="6D8313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r>
              <w:rPr>
                <w:rFonts w:hint="eastAsia" w:ascii="仿宋" w:hAnsi="仿宋" w:eastAsia="仿宋" w:cs="仿宋"/>
                <w:kern w:val="0"/>
                <w:sz w:val="24"/>
              </w:rPr>
              <w:t>3</w:t>
            </w:r>
          </w:p>
        </w:tc>
        <w:tc>
          <w:tcPr>
            <w:tcW w:w="1584" w:type="dxa"/>
            <w:noWrap w:val="0"/>
            <w:vAlign w:val="center"/>
          </w:tcPr>
          <w:p w14:paraId="48F3B6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垃圾车</w:t>
            </w:r>
          </w:p>
        </w:tc>
        <w:tc>
          <w:tcPr>
            <w:tcW w:w="2257" w:type="dxa"/>
            <w:noWrap w:val="0"/>
            <w:vAlign w:val="center"/>
          </w:tcPr>
          <w:p w14:paraId="19A9E31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0E8B7A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15EA24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5EFF2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0" w:hRule="atLeast"/>
          <w:jc w:val="center"/>
        </w:trPr>
        <w:tc>
          <w:tcPr>
            <w:tcW w:w="641" w:type="dxa"/>
            <w:noWrap w:val="0"/>
            <w:vAlign w:val="center"/>
          </w:tcPr>
          <w:p w14:paraId="0F1180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4</w:t>
            </w:r>
          </w:p>
        </w:tc>
        <w:tc>
          <w:tcPr>
            <w:tcW w:w="1584" w:type="dxa"/>
            <w:noWrap w:val="0"/>
            <w:vAlign w:val="center"/>
          </w:tcPr>
          <w:p w14:paraId="652EAE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绿篱机</w:t>
            </w:r>
          </w:p>
        </w:tc>
        <w:tc>
          <w:tcPr>
            <w:tcW w:w="2257" w:type="dxa"/>
            <w:noWrap w:val="0"/>
            <w:vAlign w:val="center"/>
          </w:tcPr>
          <w:p w14:paraId="5EA711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5D67E8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666B97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2063C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1" w:hRule="atLeast"/>
          <w:jc w:val="center"/>
        </w:trPr>
        <w:tc>
          <w:tcPr>
            <w:tcW w:w="641" w:type="dxa"/>
            <w:noWrap w:val="0"/>
            <w:vAlign w:val="center"/>
          </w:tcPr>
          <w:p w14:paraId="19F8C3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5</w:t>
            </w:r>
          </w:p>
        </w:tc>
        <w:tc>
          <w:tcPr>
            <w:tcW w:w="1584" w:type="dxa"/>
            <w:noWrap w:val="0"/>
            <w:vAlign w:val="center"/>
          </w:tcPr>
          <w:p w14:paraId="33FC58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高枝油锯</w:t>
            </w:r>
          </w:p>
        </w:tc>
        <w:tc>
          <w:tcPr>
            <w:tcW w:w="2257" w:type="dxa"/>
            <w:noWrap w:val="0"/>
            <w:vAlign w:val="center"/>
          </w:tcPr>
          <w:p w14:paraId="4C188D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197DBC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2B1F09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2ABC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1" w:hRule="atLeast"/>
          <w:jc w:val="center"/>
        </w:trPr>
        <w:tc>
          <w:tcPr>
            <w:tcW w:w="641" w:type="dxa"/>
            <w:noWrap w:val="0"/>
            <w:vAlign w:val="center"/>
          </w:tcPr>
          <w:p w14:paraId="3F5687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6</w:t>
            </w:r>
          </w:p>
        </w:tc>
        <w:tc>
          <w:tcPr>
            <w:tcW w:w="1584" w:type="dxa"/>
            <w:noWrap w:val="0"/>
            <w:vAlign w:val="center"/>
          </w:tcPr>
          <w:p w14:paraId="488E92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油锯</w:t>
            </w:r>
          </w:p>
        </w:tc>
        <w:tc>
          <w:tcPr>
            <w:tcW w:w="2257" w:type="dxa"/>
            <w:noWrap w:val="0"/>
            <w:vAlign w:val="center"/>
          </w:tcPr>
          <w:p w14:paraId="77D021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6EC8CF0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77FD1C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r w14:paraId="2981C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641" w:type="dxa"/>
            <w:noWrap w:val="0"/>
            <w:vAlign w:val="center"/>
          </w:tcPr>
          <w:p w14:paraId="322154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7</w:t>
            </w:r>
          </w:p>
        </w:tc>
        <w:tc>
          <w:tcPr>
            <w:tcW w:w="1584" w:type="dxa"/>
            <w:noWrap w:val="0"/>
            <w:vAlign w:val="center"/>
          </w:tcPr>
          <w:p w14:paraId="151159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打边机</w:t>
            </w:r>
          </w:p>
        </w:tc>
        <w:tc>
          <w:tcPr>
            <w:tcW w:w="2257" w:type="dxa"/>
            <w:noWrap w:val="0"/>
            <w:vAlign w:val="center"/>
          </w:tcPr>
          <w:p w14:paraId="2B3796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6E4878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c>
          <w:tcPr>
            <w:tcW w:w="2257" w:type="dxa"/>
            <w:noWrap w:val="0"/>
            <w:vAlign w:val="center"/>
          </w:tcPr>
          <w:p w14:paraId="40453A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kern w:val="0"/>
                <w:sz w:val="24"/>
              </w:rPr>
            </w:pPr>
          </w:p>
        </w:tc>
      </w:tr>
    </w:tbl>
    <w:p w14:paraId="34916AA3">
      <w:pPr>
        <w:keepNext w:val="0"/>
        <w:keepLines w:val="0"/>
        <w:pageBreakBefore w:val="0"/>
        <w:kinsoku/>
        <w:overflowPunct/>
        <w:topLinePunct w:val="0"/>
        <w:autoSpaceDE/>
        <w:autoSpaceDN/>
        <w:bidi w:val="0"/>
        <w:adjustRightInd w:val="0"/>
        <w:snapToGrid w:val="0"/>
        <w:spacing w:line="560" w:lineRule="exact"/>
        <w:ind w:firstLine="567"/>
        <w:textAlignment w:val="auto"/>
        <w:outlineLvl w:val="1"/>
        <w:rPr>
          <w:rFonts w:hint="eastAsia" w:ascii="仿宋" w:hAnsi="仿宋" w:eastAsia="仿宋" w:cs="仿宋"/>
          <w:b/>
          <w:bCs/>
          <w:sz w:val="32"/>
          <w:szCs w:val="32"/>
          <w:lang w:val="en-US" w:eastAsia="zh-CN"/>
        </w:rPr>
      </w:pPr>
      <w:r>
        <w:rPr>
          <w:rFonts w:hint="eastAsia" w:ascii="仿宋" w:hAnsi="仿宋" w:eastAsia="仿宋" w:cs="仿宋"/>
          <w:b/>
          <w:bCs/>
          <w:sz w:val="32"/>
          <w:szCs w:val="32"/>
        </w:rPr>
        <w:t>第</w:t>
      </w:r>
      <w:r>
        <w:rPr>
          <w:rFonts w:hint="eastAsia" w:ascii="仿宋" w:hAnsi="仿宋" w:eastAsia="仿宋" w:cs="仿宋"/>
          <w:b/>
          <w:bCs/>
          <w:sz w:val="32"/>
          <w:szCs w:val="32"/>
          <w:lang w:val="en-US" w:eastAsia="zh-CN"/>
        </w:rPr>
        <w:t>八</w:t>
      </w:r>
      <w:r>
        <w:rPr>
          <w:rFonts w:hint="eastAsia" w:ascii="仿宋" w:hAnsi="仿宋" w:eastAsia="仿宋" w:cs="仿宋"/>
          <w:b/>
          <w:bCs/>
          <w:sz w:val="32"/>
          <w:szCs w:val="32"/>
        </w:rPr>
        <w:t xml:space="preserve">条  </w:t>
      </w:r>
      <w:r>
        <w:rPr>
          <w:rFonts w:hint="eastAsia" w:ascii="仿宋" w:hAnsi="仿宋" w:eastAsia="仿宋" w:cs="仿宋"/>
          <w:b/>
          <w:bCs/>
          <w:sz w:val="32"/>
          <w:szCs w:val="32"/>
          <w:lang w:val="en-US" w:eastAsia="zh-CN"/>
        </w:rPr>
        <w:t>绿化养护</w:t>
      </w:r>
      <w:r>
        <w:rPr>
          <w:rFonts w:hint="eastAsia" w:ascii="仿宋" w:hAnsi="仿宋" w:eastAsia="仿宋" w:cs="仿宋"/>
          <w:b/>
          <w:bCs/>
          <w:sz w:val="32"/>
          <w:szCs w:val="32"/>
        </w:rPr>
        <w:t>工作</w:t>
      </w:r>
      <w:r>
        <w:rPr>
          <w:rFonts w:hint="eastAsia" w:ascii="仿宋" w:hAnsi="仿宋" w:eastAsia="仿宋" w:cs="仿宋"/>
          <w:b/>
          <w:bCs/>
          <w:sz w:val="32"/>
          <w:szCs w:val="32"/>
          <w:lang w:val="en-US" w:eastAsia="zh-CN"/>
        </w:rPr>
        <w:t>责任与质量要求</w:t>
      </w:r>
    </w:p>
    <w:p w14:paraId="0E55630C">
      <w:pPr>
        <w:keepNext w:val="0"/>
        <w:keepLines w:val="0"/>
        <w:pageBreakBefore w:val="0"/>
        <w:kinsoku/>
        <w:overflowPunct/>
        <w:topLinePunct w:val="0"/>
        <w:autoSpaceDE/>
        <w:autoSpaceDN/>
        <w:bidi w:val="0"/>
        <w:adjustRightInd w:val="0"/>
        <w:snapToGrid w:val="0"/>
        <w:spacing w:line="560" w:lineRule="exact"/>
        <w:ind w:firstLine="567"/>
        <w:textAlignment w:val="auto"/>
        <w:rPr>
          <w:rFonts w:hint="eastAsia" w:ascii="仿宋" w:hAnsi="仿宋" w:eastAsia="仿宋" w:cs="仿宋"/>
          <w:color w:val="191F25"/>
          <w:sz w:val="32"/>
          <w:szCs w:val="32"/>
          <w:shd w:val="clear" w:color="auto" w:fill="FFFFFF"/>
          <w:lang w:val="en-US" w:eastAsia="zh-CN"/>
        </w:rPr>
      </w:pPr>
      <w:r>
        <w:rPr>
          <w:rFonts w:hint="eastAsia" w:ascii="仿宋" w:hAnsi="仿宋" w:eastAsia="仿宋" w:cs="仿宋"/>
          <w:color w:val="191F25"/>
          <w:sz w:val="32"/>
          <w:szCs w:val="32"/>
          <w:shd w:val="clear" w:color="auto" w:fill="FFFFFF"/>
          <w:lang w:val="en-US" w:eastAsia="zh-CN"/>
        </w:rPr>
        <w:t>1、通用要求</w:t>
      </w:r>
    </w:p>
    <w:p w14:paraId="61F1AC1D">
      <w:pPr>
        <w:keepNext w:val="0"/>
        <w:keepLines w:val="0"/>
        <w:pageBreakBefore w:val="0"/>
        <w:kinsoku/>
        <w:overflowPunct/>
        <w:topLinePunct w:val="0"/>
        <w:autoSpaceDE/>
        <w:autoSpaceDN/>
        <w:bidi w:val="0"/>
        <w:adjustRightInd w:val="0"/>
        <w:snapToGrid w:val="0"/>
        <w:spacing w:line="560" w:lineRule="exact"/>
        <w:ind w:firstLine="567"/>
        <w:textAlignment w:val="auto"/>
        <w:rPr>
          <w:rFonts w:hint="eastAsia" w:ascii="仿宋" w:hAnsi="仿宋" w:eastAsia="仿宋" w:cs="仿宋"/>
          <w:b/>
          <w:bCs/>
          <w:sz w:val="32"/>
          <w:szCs w:val="32"/>
        </w:rPr>
      </w:pPr>
      <w:r>
        <w:rPr>
          <w:rFonts w:hint="eastAsia" w:ascii="仿宋" w:hAnsi="仿宋" w:eastAsia="仿宋" w:cs="仿宋"/>
          <w:color w:val="191F25"/>
          <w:sz w:val="32"/>
          <w:szCs w:val="32"/>
          <w:shd w:val="clear" w:color="auto" w:fill="FFFFFF"/>
          <w:lang w:val="en-US" w:eastAsia="zh-CN"/>
        </w:rPr>
        <w:t>（1）</w:t>
      </w:r>
      <w:r>
        <w:rPr>
          <w:rFonts w:hint="eastAsia" w:ascii="仿宋" w:hAnsi="仿宋" w:eastAsia="仿宋" w:cs="仿宋"/>
          <w:color w:val="191F25"/>
          <w:sz w:val="32"/>
          <w:szCs w:val="32"/>
          <w:shd w:val="clear" w:color="auto" w:fill="FFFFFF"/>
        </w:rPr>
        <w:t>绿化养护工作分为一级园林绿化养护、二级园林绿化养护、三级园林绿化养护、行道树、绿地设施维护及保护</w:t>
      </w:r>
      <w:r>
        <w:rPr>
          <w:rFonts w:hint="eastAsia" w:ascii="仿宋" w:hAnsi="仿宋" w:eastAsia="仿宋" w:cs="仿宋"/>
          <w:color w:val="191F25"/>
          <w:sz w:val="32"/>
          <w:szCs w:val="32"/>
          <w:shd w:val="clear" w:color="auto" w:fill="FFFFFF"/>
          <w:lang w:eastAsia="zh-CN"/>
        </w:rPr>
        <w:t>、</w:t>
      </w:r>
      <w:r>
        <w:rPr>
          <w:rFonts w:hint="eastAsia" w:ascii="仿宋" w:hAnsi="仿宋" w:eastAsia="仿宋" w:cs="仿宋"/>
          <w:color w:val="191F25"/>
          <w:sz w:val="32"/>
          <w:szCs w:val="32"/>
          <w:shd w:val="clear" w:color="auto" w:fill="FFFFFF"/>
          <w:lang w:val="en-US" w:eastAsia="zh-CN"/>
        </w:rPr>
        <w:t>绿地管理工作等</w:t>
      </w:r>
      <w:r>
        <w:rPr>
          <w:rFonts w:hint="eastAsia" w:ascii="仿宋" w:hAnsi="仿宋" w:eastAsia="仿宋" w:cs="仿宋"/>
          <w:color w:val="191F25"/>
          <w:sz w:val="32"/>
          <w:szCs w:val="32"/>
          <w:shd w:val="clear" w:color="auto" w:fill="FFFFFF"/>
        </w:rPr>
        <w:t>。</w:t>
      </w:r>
      <w:r>
        <w:rPr>
          <w:rFonts w:hint="eastAsia" w:ascii="仿宋" w:hAnsi="仿宋" w:eastAsia="仿宋" w:cs="仿宋"/>
          <w:color w:val="auto"/>
          <w:sz w:val="32"/>
          <w:szCs w:val="32"/>
          <w:shd w:val="clear" w:color="auto" w:fill="FFFFFF"/>
        </w:rPr>
        <w:t>绿化养护工作管理标准及要求</w:t>
      </w:r>
      <w:r>
        <w:rPr>
          <w:rFonts w:hint="eastAsia" w:ascii="仿宋" w:hAnsi="仿宋" w:eastAsia="仿宋" w:cs="仿宋"/>
          <w:color w:val="auto"/>
          <w:sz w:val="32"/>
          <w:szCs w:val="32"/>
          <w:shd w:val="clear" w:color="auto" w:fill="FFFFFF"/>
          <w:lang w:val="en-US" w:eastAsia="zh-CN"/>
        </w:rPr>
        <w:t>按照《西安市地方标准 园林绿化养护技术规范（征求意见稿）》执行，</w:t>
      </w:r>
      <w:r>
        <w:rPr>
          <w:rFonts w:hint="eastAsia" w:ascii="仿宋" w:hAnsi="仿宋" w:eastAsia="仿宋" w:cs="仿宋"/>
          <w:color w:val="191F25"/>
          <w:sz w:val="32"/>
          <w:szCs w:val="32"/>
          <w:shd w:val="clear" w:color="auto" w:fill="FFFFFF"/>
          <w:lang w:val="en-US" w:eastAsia="zh-CN"/>
        </w:rPr>
        <w:t>待该规范正式稿发布后，养护工作将立即调整并严格依照正式稿的各项规定执行，见</w:t>
      </w:r>
      <w:r>
        <w:rPr>
          <w:rFonts w:hint="eastAsia" w:ascii="仿宋" w:hAnsi="仿宋" w:eastAsia="仿宋" w:cs="仿宋"/>
          <w:b w:val="0"/>
          <w:bCs w:val="0"/>
          <w:color w:val="191F25"/>
          <w:sz w:val="32"/>
          <w:szCs w:val="32"/>
          <w:shd w:val="clear" w:color="auto" w:fill="FFFFFF"/>
        </w:rPr>
        <w:t>附件2</w:t>
      </w:r>
      <w:r>
        <w:rPr>
          <w:rFonts w:hint="eastAsia" w:ascii="仿宋" w:hAnsi="仿宋" w:eastAsia="仿宋" w:cs="仿宋"/>
          <w:b w:val="0"/>
          <w:bCs w:val="0"/>
          <w:color w:val="191F25"/>
          <w:sz w:val="32"/>
          <w:szCs w:val="32"/>
          <w:shd w:val="clear" w:color="auto" w:fill="FFFFFF"/>
          <w:lang w:eastAsia="zh-CN"/>
        </w:rPr>
        <w:t>（</w:t>
      </w:r>
      <w:r>
        <w:rPr>
          <w:rFonts w:hint="eastAsia" w:ascii="仿宋" w:hAnsi="仿宋" w:eastAsia="仿宋" w:cs="仿宋"/>
          <w:b w:val="0"/>
          <w:bCs w:val="0"/>
          <w:color w:val="191F25"/>
          <w:sz w:val="32"/>
          <w:szCs w:val="32"/>
          <w:shd w:val="clear" w:color="auto" w:fill="FFFFFF"/>
          <w:lang w:val="en-US" w:eastAsia="zh-CN"/>
        </w:rPr>
        <w:t>以下简称《规范》</w:t>
      </w:r>
      <w:r>
        <w:rPr>
          <w:rFonts w:hint="eastAsia" w:ascii="仿宋" w:hAnsi="仿宋" w:eastAsia="仿宋" w:cs="仿宋"/>
          <w:b w:val="0"/>
          <w:bCs w:val="0"/>
          <w:color w:val="191F25"/>
          <w:sz w:val="32"/>
          <w:szCs w:val="32"/>
          <w:shd w:val="clear" w:color="auto" w:fill="FFFFFF"/>
          <w:lang w:eastAsia="zh-CN"/>
        </w:rPr>
        <w:t>）</w:t>
      </w:r>
      <w:r>
        <w:rPr>
          <w:rFonts w:hint="eastAsia" w:ascii="仿宋" w:hAnsi="仿宋" w:eastAsia="仿宋" w:cs="仿宋"/>
          <w:b w:val="0"/>
          <w:bCs w:val="0"/>
          <w:color w:val="191F25"/>
          <w:sz w:val="32"/>
          <w:szCs w:val="32"/>
          <w:shd w:val="clear" w:color="auto" w:fill="FFFFFF"/>
        </w:rPr>
        <w:t>：</w:t>
      </w:r>
    </w:p>
    <w:p w14:paraId="590B5713">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乙方要严格按照</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规范</w:t>
      </w:r>
      <w:r>
        <w:rPr>
          <w:rFonts w:hint="eastAsia" w:ascii="仿宋" w:hAnsi="仿宋" w:eastAsia="仿宋" w:cs="仿宋"/>
          <w:sz w:val="32"/>
          <w:szCs w:val="32"/>
          <w:lang w:eastAsia="zh-CN"/>
        </w:rPr>
        <w:t>》</w:t>
      </w:r>
      <w:r>
        <w:rPr>
          <w:rFonts w:hint="eastAsia" w:ascii="仿宋" w:hAnsi="仿宋" w:eastAsia="仿宋" w:cs="仿宋"/>
          <w:sz w:val="32"/>
          <w:szCs w:val="32"/>
        </w:rPr>
        <w:t>对所承包绿地进行养护管理。精心组织、精心管护，保质保量完成管护任务。包括松土除草、修剪、整形、抹芽、浇水、中耕施肥、病虫害防治、抗旱防涝、清除枯枝、垃圾清运、树木绑扎、树干刷白、草坪切边、加土扶正、立架加固、抗灾抢险、设施维护、安全保护措施等一切养管工作的总承包。</w:t>
      </w:r>
    </w:p>
    <w:p w14:paraId="2D44458F">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sz w:val="32"/>
          <w:szCs w:val="32"/>
        </w:rPr>
        <w:t>重大节庆及重大活动期间养护义务：</w:t>
      </w:r>
      <w:r>
        <w:rPr>
          <w:rFonts w:hint="eastAsia" w:ascii="仿宋" w:hAnsi="仿宋" w:eastAsia="仿宋" w:cs="仿宋"/>
          <w:sz w:val="32"/>
          <w:szCs w:val="32"/>
          <w:lang w:val="en-US" w:eastAsia="zh-CN"/>
        </w:rPr>
        <w:t>在</w:t>
      </w:r>
      <w:r>
        <w:rPr>
          <w:rFonts w:hint="eastAsia" w:ascii="仿宋" w:hAnsi="仿宋" w:eastAsia="仿宋" w:cs="仿宋"/>
          <w:sz w:val="32"/>
          <w:szCs w:val="32"/>
        </w:rPr>
        <w:t>重大节庆日及重大活动期间，乙方</w:t>
      </w:r>
      <w:r>
        <w:rPr>
          <w:rFonts w:hint="eastAsia" w:ascii="仿宋" w:hAnsi="仿宋" w:eastAsia="仿宋" w:cs="仿宋"/>
          <w:sz w:val="32"/>
          <w:szCs w:val="32"/>
          <w:lang w:val="en-US" w:eastAsia="zh-CN"/>
        </w:rPr>
        <w:t>应</w:t>
      </w:r>
      <w:r>
        <w:rPr>
          <w:rFonts w:hint="eastAsia" w:ascii="仿宋" w:hAnsi="仿宋" w:eastAsia="仿宋" w:cs="仿宋"/>
          <w:sz w:val="32"/>
          <w:szCs w:val="32"/>
        </w:rPr>
        <w:t>严格遵照</w:t>
      </w:r>
      <w:r>
        <w:rPr>
          <w:rFonts w:hint="eastAsia" w:ascii="仿宋" w:hAnsi="仿宋" w:eastAsia="仿宋" w:cs="仿宋"/>
          <w:sz w:val="32"/>
          <w:szCs w:val="32"/>
          <w:lang w:val="en-US" w:eastAsia="zh-CN"/>
        </w:rPr>
        <w:t>甲方</w:t>
      </w:r>
      <w:r>
        <w:rPr>
          <w:rFonts w:hint="eastAsia" w:ascii="仿宋" w:hAnsi="仿宋" w:eastAsia="仿宋" w:cs="仿宋"/>
          <w:sz w:val="32"/>
          <w:szCs w:val="32"/>
        </w:rPr>
        <w:t>要求，全力以赴，严谨细致地履行绿化管养职责。</w:t>
      </w:r>
    </w:p>
    <w:p w14:paraId="06A38915">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4</w:t>
      </w:r>
      <w:r>
        <w:rPr>
          <w:rFonts w:hint="eastAsia" w:ascii="仿宋" w:hAnsi="仿宋" w:eastAsia="仿宋" w:cs="仿宋"/>
          <w:sz w:val="32"/>
          <w:szCs w:val="32"/>
          <w:lang w:eastAsia="zh-CN"/>
        </w:rPr>
        <w:t>）</w:t>
      </w:r>
      <w:r>
        <w:rPr>
          <w:rFonts w:hint="eastAsia" w:ascii="仿宋" w:hAnsi="仿宋" w:eastAsia="仿宋" w:cs="仿宋"/>
          <w:sz w:val="32"/>
          <w:szCs w:val="32"/>
        </w:rPr>
        <w:t>养护管理缺失导致损失的补救：如因乙方养护管理不到位等原因，导致绿化项目出现减损或毁损，乙方应立即采取有效措施进行修复或补植，确保绿化项目的完整性和良好状态恢复至合同约定标准。</w:t>
      </w:r>
    </w:p>
    <w:p w14:paraId="55D5D5DF">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5</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任务的增减</w:t>
      </w:r>
      <w:r>
        <w:rPr>
          <w:rFonts w:hint="eastAsia" w:ascii="仿宋" w:hAnsi="仿宋" w:eastAsia="仿宋" w:cs="仿宋"/>
          <w:color w:val="auto"/>
          <w:sz w:val="32"/>
          <w:szCs w:val="32"/>
        </w:rPr>
        <w:t>：</w:t>
      </w:r>
    </w:p>
    <w:p w14:paraId="2EEFFD7C">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新增养护任务的分配：对于上级业务部门新下达的养护任务，或由</w:t>
      </w:r>
      <w:r>
        <w:rPr>
          <w:rFonts w:hint="eastAsia" w:ascii="仿宋" w:hAnsi="仿宋" w:eastAsia="仿宋" w:cs="仿宋"/>
          <w:color w:val="auto"/>
          <w:sz w:val="32"/>
          <w:szCs w:val="32"/>
          <w:lang w:val="en-US" w:eastAsia="zh-CN"/>
        </w:rPr>
        <w:t>雁塔区</w:t>
      </w:r>
      <w:r>
        <w:rPr>
          <w:rFonts w:hint="eastAsia" w:ascii="仿宋" w:hAnsi="仿宋" w:eastAsia="仿宋" w:cs="仿宋"/>
          <w:color w:val="auto"/>
          <w:sz w:val="32"/>
          <w:szCs w:val="32"/>
        </w:rPr>
        <w:t>城市管理和综合执法局接管的未列入市场化养护管理的新建绿地，将依据地域分布原则，由距离该绿地最近的中标人按照其相应养护级别的中标价格进行养护管理</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并</w:t>
      </w:r>
      <w:r>
        <w:rPr>
          <w:rFonts w:hint="eastAsia" w:ascii="仿宋" w:hAnsi="仿宋" w:eastAsia="仿宋" w:cs="仿宋"/>
          <w:color w:val="auto"/>
          <w:sz w:val="32"/>
          <w:szCs w:val="32"/>
        </w:rPr>
        <w:t>就新增养护任务签订补充协议，明确权利义务。</w:t>
      </w:r>
    </w:p>
    <w:p w14:paraId="65458965">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绿地减少情况的处理：如因市政迁移或改造提升等不可抗力因素导致绿地面积减少，</w:t>
      </w:r>
      <w:r>
        <w:rPr>
          <w:rFonts w:hint="eastAsia" w:ascii="仿宋" w:hAnsi="仿宋" w:eastAsia="仿宋" w:cs="仿宋"/>
          <w:color w:val="auto"/>
          <w:sz w:val="32"/>
          <w:szCs w:val="32"/>
          <w:lang w:val="en-US" w:eastAsia="zh-CN"/>
        </w:rPr>
        <w:t>甲方将及时</w:t>
      </w:r>
      <w:r>
        <w:rPr>
          <w:rFonts w:hint="eastAsia" w:ascii="仿宋" w:hAnsi="仿宋" w:eastAsia="仿宋" w:cs="仿宋"/>
          <w:color w:val="auto"/>
          <w:sz w:val="32"/>
          <w:szCs w:val="32"/>
        </w:rPr>
        <w:t>通知负责该</w:t>
      </w:r>
      <w:r>
        <w:rPr>
          <w:rFonts w:hint="eastAsia" w:ascii="仿宋" w:hAnsi="仿宋" w:eastAsia="仿宋" w:cs="仿宋"/>
          <w:color w:val="auto"/>
          <w:sz w:val="32"/>
          <w:szCs w:val="32"/>
          <w:lang w:val="en-US" w:eastAsia="zh-CN"/>
        </w:rPr>
        <w:t>区</w:t>
      </w:r>
      <w:r>
        <w:rPr>
          <w:rFonts w:hint="eastAsia" w:ascii="仿宋" w:hAnsi="仿宋" w:eastAsia="仿宋" w:cs="仿宋"/>
          <w:color w:val="auto"/>
          <w:sz w:val="32"/>
          <w:szCs w:val="32"/>
        </w:rPr>
        <w:t>域养护的中标人</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根据绿地减少后的实际面积及相应养护等级标准，</w:t>
      </w:r>
      <w:r>
        <w:rPr>
          <w:rFonts w:hint="eastAsia" w:ascii="仿宋" w:hAnsi="仿宋" w:eastAsia="仿宋" w:cs="仿宋"/>
          <w:color w:val="auto"/>
          <w:sz w:val="32"/>
          <w:szCs w:val="32"/>
          <w:lang w:val="en-US" w:eastAsia="zh-CN"/>
        </w:rPr>
        <w:t>相应</w:t>
      </w:r>
      <w:r>
        <w:rPr>
          <w:rFonts w:hint="eastAsia" w:ascii="仿宋" w:hAnsi="仿宋" w:eastAsia="仿宋" w:cs="仿宋"/>
          <w:color w:val="auto"/>
          <w:sz w:val="32"/>
          <w:szCs w:val="32"/>
        </w:rPr>
        <w:t>调</w:t>
      </w:r>
      <w:r>
        <w:rPr>
          <w:rFonts w:hint="eastAsia" w:ascii="仿宋" w:hAnsi="仿宋" w:eastAsia="仿宋" w:cs="仿宋"/>
          <w:color w:val="auto"/>
          <w:sz w:val="32"/>
          <w:szCs w:val="32"/>
          <w:lang w:val="en-US" w:eastAsia="zh-CN"/>
        </w:rPr>
        <w:t>减</w:t>
      </w:r>
      <w:r>
        <w:rPr>
          <w:rFonts w:hint="eastAsia" w:ascii="仿宋" w:hAnsi="仿宋" w:eastAsia="仿宋" w:cs="仿宋"/>
          <w:color w:val="auto"/>
          <w:sz w:val="32"/>
          <w:szCs w:val="32"/>
        </w:rPr>
        <w:t>养护费用。</w:t>
      </w:r>
    </w:p>
    <w:p w14:paraId="4EC5B750">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乔木管养</w:t>
      </w:r>
    </w:p>
    <w:p w14:paraId="76C8E26B">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rPr>
      </w:pP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1</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管养标准 ：生长正常,枝叶健壮,</w:t>
      </w:r>
      <w:r>
        <w:rPr>
          <w:rFonts w:hint="eastAsia" w:ascii="仿宋" w:hAnsi="仿宋" w:eastAsia="仿宋" w:cs="仿宋"/>
          <w:color w:val="auto"/>
          <w:sz w:val="32"/>
          <w:szCs w:val="32"/>
          <w:lang w:val="en-US" w:eastAsia="zh-CN"/>
        </w:rPr>
        <w:t>无病虫害，无</w:t>
      </w:r>
      <w:r>
        <w:rPr>
          <w:rFonts w:hint="eastAsia" w:ascii="仿宋" w:hAnsi="仿宋" w:eastAsia="仿宋" w:cs="仿宋"/>
          <w:color w:val="auto"/>
          <w:sz w:val="32"/>
          <w:szCs w:val="32"/>
        </w:rPr>
        <w:t>伤残枝、下垂枝、</w:t>
      </w:r>
      <w:r>
        <w:rPr>
          <w:rFonts w:hint="eastAsia" w:ascii="仿宋" w:hAnsi="仿宋" w:eastAsia="仿宋" w:cs="仿宋"/>
          <w:color w:val="auto"/>
          <w:sz w:val="32"/>
          <w:szCs w:val="32"/>
          <w:lang w:val="en-US" w:eastAsia="zh-CN"/>
        </w:rPr>
        <w:t>徒长枝、枯死枝；不遮挡交通信号灯、交通指示牌、不遮挡行车视线；不对高压电线、电箱、房屋等构筑物造成安全隐患；不对行人及车辆造成安全隐患。</w:t>
      </w:r>
    </w:p>
    <w:p w14:paraId="42A40CB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2</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修剪：日常养护过程中</w:t>
      </w:r>
      <w:r>
        <w:rPr>
          <w:rFonts w:hint="eastAsia" w:ascii="仿宋" w:hAnsi="仿宋" w:eastAsia="仿宋" w:cs="仿宋"/>
          <w:color w:val="auto"/>
          <w:sz w:val="32"/>
          <w:szCs w:val="32"/>
          <w:lang w:val="en-US" w:eastAsia="zh-CN"/>
        </w:rPr>
        <w:t>重点对遮挡交通信号灯、交通指示牌、遮挡行车视线、碰触高压电线、电箱、房屋等构筑物造，对行人及车辆存在安全隐患的树木进行修剪。</w:t>
      </w:r>
      <w:r>
        <w:rPr>
          <w:rFonts w:hint="eastAsia" w:ascii="仿宋" w:hAnsi="仿宋" w:eastAsia="仿宋" w:cs="仿宋"/>
          <w:color w:val="auto"/>
          <w:sz w:val="32"/>
          <w:szCs w:val="32"/>
        </w:rPr>
        <w:t>同一路段的行道树的树形和树冠下缘线的高度应基本一致，确保行车和行人安全。</w:t>
      </w:r>
      <w:r>
        <w:rPr>
          <w:rFonts w:hint="eastAsia" w:ascii="仿宋" w:hAnsi="仿宋" w:eastAsia="仿宋" w:cs="仿宋"/>
          <w:color w:val="auto"/>
          <w:sz w:val="32"/>
          <w:szCs w:val="32"/>
          <w:lang w:val="en-US" w:eastAsia="zh-CN"/>
        </w:rPr>
        <w:t>清除</w:t>
      </w:r>
      <w:r>
        <w:rPr>
          <w:rFonts w:hint="eastAsia" w:ascii="仿宋" w:hAnsi="仿宋" w:eastAsia="仿宋" w:cs="仿宋"/>
          <w:color w:val="auto"/>
          <w:sz w:val="32"/>
          <w:szCs w:val="32"/>
        </w:rPr>
        <w:t>病虫枝、伤残枝、下垂枝、枯死枝</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保持树冠均匀整齐生长。行道树与架空电力线路导线之间的最小距离应符合GB55014-2021 第 8.0.3 条的规定。</w:t>
      </w:r>
    </w:p>
    <w:p w14:paraId="1311D0B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sz w:val="32"/>
          <w:szCs w:val="32"/>
          <w:lang w:eastAsia="zh-CN"/>
        </w:rPr>
        <w:drawing>
          <wp:anchor distT="0" distB="0" distL="114300" distR="114300" simplePos="0" relativeHeight="251660288" behindDoc="1" locked="0" layoutInCell="1" allowOverlap="1">
            <wp:simplePos x="0" y="0"/>
            <wp:positionH relativeFrom="column">
              <wp:posOffset>19050</wp:posOffset>
            </wp:positionH>
            <wp:positionV relativeFrom="paragraph">
              <wp:posOffset>278130</wp:posOffset>
            </wp:positionV>
            <wp:extent cx="5611495" cy="2394585"/>
            <wp:effectExtent l="0" t="0" r="1905" b="5715"/>
            <wp:wrapTight wrapText="bothSides">
              <wp:wrapPolygon>
                <wp:start x="0" y="0"/>
                <wp:lineTo x="0" y="21537"/>
                <wp:lineTo x="21558" y="21537"/>
                <wp:lineTo x="21558" y="0"/>
                <wp:lineTo x="0" y="0"/>
              </wp:wrapPolygon>
            </wp:wrapTight>
            <wp:docPr id="1" name="图片 1" descr="3bd6831ac5e5ba5ababa9b621399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bd6831ac5e5ba5ababa9b621399616"/>
                    <pic:cNvPicPr>
                      <a:picLocks noChangeAspect="1"/>
                    </pic:cNvPicPr>
                  </pic:nvPicPr>
                  <pic:blipFill>
                    <a:blip r:embed="rId6"/>
                    <a:stretch>
                      <a:fillRect/>
                    </a:stretch>
                  </pic:blipFill>
                  <pic:spPr>
                    <a:xfrm>
                      <a:off x="0" y="0"/>
                      <a:ext cx="5611495" cy="2394585"/>
                    </a:xfrm>
                    <a:prstGeom prst="rect">
                      <a:avLst/>
                    </a:prstGeom>
                  </pic:spPr>
                </pic:pic>
              </a:graphicData>
            </a:graphic>
          </wp:anchor>
        </w:drawing>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color w:val="auto"/>
          <w:sz w:val="32"/>
          <w:szCs w:val="32"/>
        </w:rPr>
        <w:t>病虫害防治：及时做好病虫害的防治工作，以防为主,精心管养,使植物增强抗病虫能力,早发现,早处理；采取综合防治、化学防治、人工防治和生物防治等方法,防止病虫害蔓延和影响植物生长</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每年</w:t>
      </w:r>
      <w:r>
        <w:rPr>
          <w:rFonts w:hint="eastAsia" w:ascii="仿宋" w:hAnsi="仿宋" w:eastAsia="仿宋" w:cs="仿宋"/>
          <w:color w:val="auto"/>
          <w:sz w:val="32"/>
          <w:szCs w:val="32"/>
        </w:rPr>
        <w:t>冬季</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春季</w:t>
      </w:r>
      <w:r>
        <w:rPr>
          <w:rFonts w:hint="eastAsia" w:ascii="仿宋" w:hAnsi="仿宋" w:eastAsia="仿宋" w:cs="仿宋"/>
          <w:color w:val="auto"/>
          <w:sz w:val="32"/>
          <w:szCs w:val="32"/>
        </w:rPr>
        <w:t>进行集中防治，</w:t>
      </w:r>
      <w:r>
        <w:rPr>
          <w:rFonts w:hint="eastAsia" w:ascii="仿宋" w:hAnsi="仿宋" w:eastAsia="仿宋" w:cs="仿宋"/>
          <w:color w:val="auto"/>
          <w:sz w:val="32"/>
          <w:szCs w:val="32"/>
          <w:lang w:val="en-US" w:eastAsia="zh-CN"/>
        </w:rPr>
        <w:t>重点防治美国白蛾、松材线虫、尺蠖、木虱、蚜虫等危害性大，爆发性强的病虫害</w:t>
      </w:r>
      <w:r>
        <w:rPr>
          <w:rFonts w:hint="eastAsia" w:ascii="仿宋" w:hAnsi="仿宋" w:eastAsia="仿宋" w:cs="仿宋"/>
          <w:color w:val="auto"/>
          <w:sz w:val="32"/>
          <w:szCs w:val="32"/>
        </w:rPr>
        <w:t>。每月杀虫杀菌一次,发现有病虫害时,根据药效，7-10天打药防治一次，连续三次防治，效果不理想时</w:t>
      </w:r>
      <w:r>
        <w:rPr>
          <w:rFonts w:hint="eastAsia" w:ascii="仿宋" w:hAnsi="仿宋" w:eastAsia="仿宋" w:cs="仿宋"/>
          <w:color w:val="auto"/>
          <w:sz w:val="32"/>
          <w:szCs w:val="32"/>
          <w:lang w:val="en-US" w:eastAsia="zh-CN"/>
        </w:rPr>
        <w:t>需短时间内</w:t>
      </w:r>
      <w:r>
        <w:rPr>
          <w:rFonts w:hint="eastAsia" w:ascii="仿宋" w:hAnsi="仿宋" w:eastAsia="仿宋" w:cs="仿宋"/>
          <w:color w:val="auto"/>
          <w:sz w:val="32"/>
          <w:szCs w:val="32"/>
        </w:rPr>
        <w:t>多次喷药防治。</w:t>
      </w:r>
    </w:p>
    <w:p w14:paraId="330A31AB">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浇水：根据不同生长季节的天气情况,不同植物种类和不同树龄适当浇水，满足植物正常生长的需要。</w:t>
      </w:r>
    </w:p>
    <w:p w14:paraId="41F23B5C">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施肥：一年施肥1-2次,肥料埋施,先打穴或开沟,施肥后回填土、踏实，浇水。</w:t>
      </w:r>
    </w:p>
    <w:p w14:paraId="36BEA52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（6）</w:t>
      </w:r>
      <w:r>
        <w:rPr>
          <w:rFonts w:hint="eastAsia" w:ascii="仿宋" w:hAnsi="仿宋" w:eastAsia="仿宋" w:cs="仿宋"/>
          <w:sz w:val="32"/>
          <w:szCs w:val="32"/>
        </w:rPr>
        <w:t>树坑定期修边,除杂草、松土,做到树穴界线清楚,树穴内无明显杂草。</w:t>
      </w:r>
    </w:p>
    <w:p w14:paraId="79E04F8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3、</w:t>
      </w:r>
      <w:r>
        <w:rPr>
          <w:rFonts w:hint="eastAsia" w:ascii="仿宋" w:hAnsi="仿宋" w:eastAsia="仿宋" w:cs="仿宋"/>
          <w:sz w:val="32"/>
          <w:szCs w:val="32"/>
        </w:rPr>
        <w:t>草坪</w:t>
      </w:r>
      <w:r>
        <w:rPr>
          <w:rFonts w:hint="eastAsia" w:ascii="仿宋" w:hAnsi="仿宋" w:eastAsia="仿宋" w:cs="仿宋"/>
          <w:sz w:val="32"/>
          <w:szCs w:val="32"/>
          <w:lang w:val="en-US" w:eastAsia="zh-CN"/>
        </w:rPr>
        <w:t>及草本地被植物</w:t>
      </w:r>
      <w:r>
        <w:rPr>
          <w:rFonts w:hint="eastAsia" w:ascii="仿宋" w:hAnsi="仿宋" w:eastAsia="仿宋" w:cs="仿宋"/>
          <w:sz w:val="32"/>
          <w:szCs w:val="32"/>
        </w:rPr>
        <w:t>管养</w:t>
      </w:r>
    </w:p>
    <w:p w14:paraId="27C9FB3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w:t>
      </w:r>
      <w:r>
        <w:rPr>
          <w:rFonts w:hint="eastAsia" w:ascii="仿宋" w:hAnsi="仿宋" w:eastAsia="仿宋" w:cs="仿宋"/>
          <w:sz w:val="32"/>
          <w:szCs w:val="32"/>
        </w:rPr>
        <w:t>管养标准：草坪正常生长,草坪基本无明显杂草,草长控制在5-8cm。</w:t>
      </w:r>
    </w:p>
    <w:p w14:paraId="40BB7E3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rPr>
        <w:t>草坪的施肥：每年施肥</w:t>
      </w:r>
      <w:r>
        <w:rPr>
          <w:rFonts w:hint="eastAsia" w:ascii="仿宋" w:hAnsi="仿宋" w:eastAsia="仿宋" w:cs="仿宋"/>
          <w:sz w:val="32"/>
          <w:szCs w:val="32"/>
          <w:lang w:val="en-US" w:eastAsia="zh-CN"/>
        </w:rPr>
        <w:t>不少于</w:t>
      </w:r>
      <w:r>
        <w:rPr>
          <w:rFonts w:hint="eastAsia" w:ascii="仿宋" w:hAnsi="仿宋" w:eastAsia="仿宋" w:cs="仿宋"/>
          <w:sz w:val="32"/>
          <w:szCs w:val="32"/>
        </w:rPr>
        <w:t>4次,保持草坪正常生长。</w:t>
      </w:r>
    </w:p>
    <w:p w14:paraId="3C31B93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sz w:val="32"/>
          <w:szCs w:val="32"/>
        </w:rPr>
        <w:t>浇水灌溉：适时浇水灌溉,满足植物正常生长的需要。</w:t>
      </w:r>
    </w:p>
    <w:p w14:paraId="3FCBBB1B">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4</w:t>
      </w:r>
      <w:r>
        <w:rPr>
          <w:rFonts w:hint="eastAsia" w:ascii="仿宋" w:hAnsi="仿宋" w:eastAsia="仿宋" w:cs="仿宋"/>
          <w:sz w:val="32"/>
          <w:szCs w:val="32"/>
          <w:lang w:eastAsia="zh-CN"/>
        </w:rPr>
        <w:t>）</w:t>
      </w:r>
      <w:r>
        <w:rPr>
          <w:rFonts w:hint="eastAsia" w:ascii="仿宋" w:hAnsi="仿宋" w:eastAsia="仿宋" w:cs="仿宋"/>
          <w:sz w:val="32"/>
          <w:szCs w:val="32"/>
        </w:rPr>
        <w:t>病虫害防治：及时做好病虫害的防治工作,以防为主,精心管养,经常检查,注意粘虫、蛴螬、春秃病、锈病发生，白三叶草重点防治蜗牛、蚜虫等。早发现,早处理,发现有病虫害时,连续消杀多次直至消杀完为止。</w:t>
      </w:r>
    </w:p>
    <w:p w14:paraId="310C86DA">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灌木和花卉管养</w:t>
      </w:r>
    </w:p>
    <w:p w14:paraId="4624A20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w:t>
      </w:r>
      <w:r>
        <w:rPr>
          <w:rFonts w:hint="eastAsia" w:ascii="仿宋" w:hAnsi="仿宋" w:eastAsia="仿宋" w:cs="仿宋"/>
          <w:sz w:val="32"/>
          <w:szCs w:val="32"/>
        </w:rPr>
        <w:t>管养标准：生长良好,花繁叶茂,造型美观,具有一定的艺术感和立体感。</w:t>
      </w:r>
    </w:p>
    <w:p w14:paraId="3D75DBF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rPr>
        <w:t>修剪：考虑每种植物的生长发育特点和开花习性，科学掌握修剪时间和方式,做到既造型美观,又能促进开花;花谢后要随时剪掉残花老枝。</w:t>
      </w:r>
    </w:p>
    <w:p w14:paraId="7959E03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sz w:val="32"/>
          <w:szCs w:val="32"/>
        </w:rPr>
        <w:t>绿篱的修剪：遵循修剪后要使绿篱内部和基部保持通风透光的修剪原理。根据具体情况,及时修剪,要求修剪后的绿篱，整齐、美观、及时修剪达到相应的景观效果。</w:t>
      </w:r>
    </w:p>
    <w:p w14:paraId="3C53B57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4</w:t>
      </w:r>
      <w:r>
        <w:rPr>
          <w:rFonts w:hint="eastAsia" w:ascii="仿宋" w:hAnsi="仿宋" w:eastAsia="仿宋" w:cs="仿宋"/>
          <w:sz w:val="32"/>
          <w:szCs w:val="32"/>
          <w:lang w:eastAsia="zh-CN"/>
        </w:rPr>
        <w:t>）</w:t>
      </w:r>
      <w:r>
        <w:rPr>
          <w:rFonts w:hint="eastAsia" w:ascii="仿宋" w:hAnsi="仿宋" w:eastAsia="仿宋" w:cs="仿宋"/>
          <w:sz w:val="32"/>
          <w:szCs w:val="32"/>
        </w:rPr>
        <w:t>草本类花卉修剪及时,造型美观,无枯枝败叶。</w:t>
      </w:r>
    </w:p>
    <w:p w14:paraId="7223877A">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5</w:t>
      </w:r>
      <w:r>
        <w:rPr>
          <w:rFonts w:hint="eastAsia" w:ascii="仿宋" w:hAnsi="仿宋" w:eastAsia="仿宋" w:cs="仿宋"/>
          <w:sz w:val="32"/>
          <w:szCs w:val="32"/>
          <w:lang w:eastAsia="zh-CN"/>
        </w:rPr>
        <w:t>）</w:t>
      </w:r>
      <w:r>
        <w:rPr>
          <w:rFonts w:hint="eastAsia" w:ascii="仿宋" w:hAnsi="仿宋" w:eastAsia="仿宋" w:cs="仿宋"/>
          <w:sz w:val="32"/>
          <w:szCs w:val="32"/>
        </w:rPr>
        <w:t>浇水：根据植物的生长情况和栽植土质进行合理、适时浇水,雨季做好排水工作。浇水的原则：根据天气变化，及时足量浇灌，不能使植物出现干旱缺水</w:t>
      </w:r>
      <w:r>
        <w:rPr>
          <w:rFonts w:hint="eastAsia" w:ascii="仿宋" w:hAnsi="仿宋" w:eastAsia="仿宋" w:cs="仿宋"/>
          <w:sz w:val="32"/>
          <w:szCs w:val="32"/>
          <w:lang w:val="en-US" w:eastAsia="zh-CN"/>
        </w:rPr>
        <w:t>现象</w:t>
      </w:r>
      <w:r>
        <w:rPr>
          <w:rFonts w:hint="eastAsia" w:ascii="仿宋" w:hAnsi="仿宋" w:eastAsia="仿宋" w:cs="仿宋"/>
          <w:sz w:val="32"/>
          <w:szCs w:val="32"/>
        </w:rPr>
        <w:t>。</w:t>
      </w:r>
    </w:p>
    <w:p w14:paraId="692B0E0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6</w:t>
      </w:r>
      <w:r>
        <w:rPr>
          <w:rFonts w:hint="eastAsia" w:ascii="仿宋" w:hAnsi="仿宋" w:eastAsia="仿宋" w:cs="仿宋"/>
          <w:sz w:val="32"/>
          <w:szCs w:val="32"/>
          <w:lang w:eastAsia="zh-CN"/>
        </w:rPr>
        <w:t>）</w:t>
      </w:r>
      <w:r>
        <w:rPr>
          <w:rFonts w:hint="eastAsia" w:ascii="仿宋" w:hAnsi="仿宋" w:eastAsia="仿宋" w:cs="仿宋"/>
          <w:sz w:val="32"/>
          <w:szCs w:val="32"/>
        </w:rPr>
        <w:t>施肥：乔木每年施肥</w:t>
      </w:r>
      <w:r>
        <w:rPr>
          <w:rFonts w:hint="eastAsia" w:ascii="仿宋" w:hAnsi="仿宋" w:eastAsia="仿宋" w:cs="仿宋"/>
          <w:sz w:val="32"/>
          <w:szCs w:val="32"/>
          <w:lang w:val="en-US" w:eastAsia="zh-CN"/>
        </w:rPr>
        <w:t>不少于1</w:t>
      </w:r>
      <w:r>
        <w:rPr>
          <w:rFonts w:hint="eastAsia" w:ascii="仿宋" w:hAnsi="仿宋" w:eastAsia="仿宋" w:cs="仿宋"/>
          <w:sz w:val="32"/>
          <w:szCs w:val="32"/>
        </w:rPr>
        <w:t>次，花灌木施肥</w:t>
      </w:r>
      <w:r>
        <w:rPr>
          <w:rFonts w:hint="eastAsia" w:ascii="仿宋" w:hAnsi="仿宋" w:eastAsia="仿宋" w:cs="仿宋"/>
          <w:sz w:val="32"/>
          <w:szCs w:val="32"/>
          <w:lang w:val="en-US" w:eastAsia="zh-CN"/>
        </w:rPr>
        <w:t>不少于2次</w:t>
      </w:r>
      <w:r>
        <w:rPr>
          <w:rFonts w:hint="eastAsia" w:ascii="仿宋" w:hAnsi="仿宋" w:eastAsia="仿宋" w:cs="仿宋"/>
          <w:sz w:val="32"/>
          <w:szCs w:val="32"/>
        </w:rPr>
        <w:t>（冬季和夏季各施肥一次），草类植物结合浇水初春、夏季、秋季各施肥一次，也可以根据植物生长情况适当调整。</w:t>
      </w:r>
    </w:p>
    <w:p w14:paraId="2F2B1F6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7</w:t>
      </w:r>
      <w:r>
        <w:rPr>
          <w:rFonts w:hint="eastAsia" w:ascii="仿宋" w:hAnsi="仿宋" w:eastAsia="仿宋" w:cs="仿宋"/>
          <w:sz w:val="32"/>
          <w:szCs w:val="32"/>
          <w:lang w:eastAsia="zh-CN"/>
        </w:rPr>
        <w:t>）</w:t>
      </w:r>
      <w:r>
        <w:rPr>
          <w:rFonts w:hint="eastAsia" w:ascii="仿宋" w:hAnsi="仿宋" w:eastAsia="仿宋" w:cs="仿宋"/>
          <w:sz w:val="32"/>
          <w:szCs w:val="32"/>
        </w:rPr>
        <w:t>除杂草：清除杂草和各种野生植物,保持绿地整洁美观。</w:t>
      </w:r>
    </w:p>
    <w:p w14:paraId="4EA4744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8</w:t>
      </w:r>
      <w:r>
        <w:rPr>
          <w:rFonts w:hint="eastAsia" w:ascii="仿宋" w:hAnsi="仿宋" w:eastAsia="仿宋" w:cs="仿宋"/>
          <w:sz w:val="32"/>
          <w:szCs w:val="32"/>
          <w:lang w:eastAsia="zh-CN"/>
        </w:rPr>
        <w:t>）</w:t>
      </w:r>
      <w:r>
        <w:rPr>
          <w:rFonts w:hint="eastAsia" w:ascii="仿宋" w:hAnsi="仿宋" w:eastAsia="仿宋" w:cs="仿宋"/>
          <w:sz w:val="32"/>
          <w:szCs w:val="32"/>
        </w:rPr>
        <w:t>病虫害防治：及时做好病虫害的防治工作,以防为主,精心管养,使植物增强抗病虫能力,经常检查, 早发现早处理。采取综合防治、化学防治、物理人工防治和生物防治等方法防止病虫害蔓延和影响植物生长。</w:t>
      </w:r>
    </w:p>
    <w:p w14:paraId="3F8A611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5、其他攀缘植物、水生湿生植物、竹类等管养标准及要求按照《规范》执行。</w:t>
      </w:r>
    </w:p>
    <w:p w14:paraId="3882F5FB">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color w:val="auto"/>
          <w:sz w:val="32"/>
          <w:szCs w:val="32"/>
          <w:lang w:val="en-US" w:eastAsia="zh-CN"/>
        </w:rPr>
      </w:pPr>
      <w:r>
        <w:rPr>
          <w:rFonts w:hint="eastAsia" w:ascii="仿宋" w:hAnsi="仿宋" w:eastAsia="仿宋" w:cs="仿宋"/>
          <w:b/>
          <w:color w:val="auto"/>
          <w:sz w:val="32"/>
          <w:szCs w:val="32"/>
          <w:lang w:val="en-US" w:eastAsia="zh-CN"/>
        </w:rPr>
        <w:t>第九条  应急处置工作要求</w:t>
      </w:r>
    </w:p>
    <w:p w14:paraId="77B0550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Fonts w:hint="eastAsia" w:ascii="仿宋" w:hAnsi="仿宋" w:eastAsia="仿宋" w:cs="仿宋"/>
          <w:b w:val="0"/>
          <w:bCs w:val="0"/>
          <w:i w:val="0"/>
          <w:iCs w:val="0"/>
          <w:caps w:val="0"/>
          <w:color w:val="auto"/>
          <w:spacing w:val="0"/>
          <w:sz w:val="32"/>
          <w:szCs w:val="32"/>
          <w:shd w:val="clear" w:fill="FFFFFF"/>
          <w:lang w:val="en-US" w:eastAsia="zh-CN" w:bidi="ar-SA"/>
        </w:rPr>
        <w:t>1、</w:t>
      </w:r>
      <w:r>
        <w:rPr>
          <w:rStyle w:val="12"/>
          <w:rFonts w:hint="eastAsia" w:ascii="仿宋" w:hAnsi="仿宋" w:eastAsia="仿宋" w:cs="仿宋"/>
          <w:b w:val="0"/>
          <w:bCs w:val="0"/>
          <w:i w:val="0"/>
          <w:iCs w:val="0"/>
          <w:caps w:val="0"/>
          <w:color w:val="auto"/>
          <w:spacing w:val="0"/>
          <w:sz w:val="32"/>
          <w:szCs w:val="32"/>
          <w:shd w:val="clear" w:fill="FFFFFF"/>
        </w:rPr>
        <w:t>应急抢险预案提交与内容要求</w:t>
      </w:r>
    </w:p>
    <w:p w14:paraId="4B3A8F95">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向甲方提交详尽的应急抢险预案，预案内容应涵盖但不限于防汛、抗旱、雪后处理、意外事件等各类自然灾害和突发事件的应对措施。预案中应详细列明应急保障人员配置、工具机械种类与数量、应急车辆配备情况、响应时间标准以及具体处置措施，确保预案的全面性、针对性与可操作性。</w:t>
      </w:r>
    </w:p>
    <w:p w14:paraId="3CE0DB77">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w:t>
      </w:r>
      <w:r>
        <w:rPr>
          <w:rStyle w:val="12"/>
          <w:rFonts w:hint="eastAsia" w:ascii="仿宋" w:hAnsi="仿宋" w:eastAsia="仿宋" w:cs="仿宋"/>
          <w:b w:val="0"/>
          <w:bCs w:val="0"/>
          <w:i w:val="0"/>
          <w:iCs w:val="0"/>
          <w:caps w:val="0"/>
          <w:color w:val="auto"/>
          <w:spacing w:val="0"/>
          <w:sz w:val="32"/>
          <w:szCs w:val="32"/>
          <w:shd w:val="clear" w:fill="FFFFFF"/>
        </w:rPr>
        <w:t>灾害性天气预防措施</w:t>
      </w:r>
    </w:p>
    <w:p w14:paraId="1043210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在强降雨、强降温、大风大雪等灾害性天气来临前，乙方须对养护范围内树木支撑防护情况进行严格检查，确保支撑稳固。对浅根性、树冠庞大、枝叶过密等抗风能力弱的乔木，乙方应视具体情况采取疏枝、支撑、扶正等预防措施，以防止树枝断裂、树木倾倒等事故的发生。</w:t>
      </w:r>
    </w:p>
    <w:p w14:paraId="749815F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w:t>
      </w:r>
      <w:r>
        <w:rPr>
          <w:rStyle w:val="12"/>
          <w:rFonts w:hint="eastAsia" w:ascii="仿宋" w:hAnsi="仿宋" w:eastAsia="仿宋" w:cs="仿宋"/>
          <w:b w:val="0"/>
          <w:bCs w:val="0"/>
          <w:i w:val="0"/>
          <w:iCs w:val="0"/>
          <w:caps w:val="0"/>
          <w:color w:val="auto"/>
          <w:spacing w:val="0"/>
          <w:sz w:val="32"/>
          <w:szCs w:val="32"/>
          <w:shd w:val="clear" w:fill="FFFFFF"/>
        </w:rPr>
        <w:t>应急保障人员培训与应急响应机制</w:t>
      </w:r>
    </w:p>
    <w:p w14:paraId="7B1CF8BE">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定期对应急保障人员进行应急抢险演练和技能培训，确保其具备应对各类灾害的能力。在灾害性天气期间，乙方应实行24小时值班制度，确保应急车辆、机械工具随时待命。乙方应将工作人员分组，对养护范围进行灾害巡查，对发现的险情隐患或已发生的险情及时上报并迅速处理，巡查重点应包括人流量大、新栽补栽路段及浅根系易倒伏树木区域。</w:t>
      </w:r>
    </w:p>
    <w:p w14:paraId="14A9A6C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4、应急处置报告机制</w:t>
      </w:r>
    </w:p>
    <w:p w14:paraId="4AA436ED">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rPr>
        <w:t>凡发生突发事件，按照重大事项报告有关规定，20分钟内电话</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微信</w:t>
      </w:r>
      <w:r>
        <w:rPr>
          <w:rStyle w:val="12"/>
          <w:rFonts w:hint="eastAsia" w:ascii="仿宋" w:hAnsi="仿宋" w:eastAsia="仿宋" w:cs="仿宋"/>
          <w:b w:val="0"/>
          <w:bCs w:val="0"/>
          <w:i w:val="0"/>
          <w:iCs w:val="0"/>
          <w:caps w:val="0"/>
          <w:color w:val="auto"/>
          <w:spacing w:val="0"/>
          <w:sz w:val="32"/>
          <w:szCs w:val="32"/>
          <w:shd w:val="clear" w:fill="FFFFFF"/>
        </w:rPr>
        <w:t>(报告内容: 事件来源、发生时间、地点、概况、伤亡或财产损失情况) 向</w:t>
      </w:r>
      <w:r>
        <w:rPr>
          <w:rStyle w:val="12"/>
          <w:rFonts w:hint="eastAsia" w:ascii="仿宋" w:hAnsi="仿宋" w:eastAsia="仿宋" w:cs="仿宋"/>
          <w:b w:val="0"/>
          <w:bCs w:val="0"/>
          <w:i w:val="0"/>
          <w:iCs w:val="0"/>
          <w:caps w:val="0"/>
          <w:color w:val="auto"/>
          <w:spacing w:val="0"/>
          <w:sz w:val="32"/>
          <w:szCs w:val="32"/>
          <w:shd w:val="clear" w:fill="FFFFFF"/>
          <w:lang w:val="en-US" w:eastAsia="zh-CN"/>
        </w:rPr>
        <w:t>甲方报告</w:t>
      </w:r>
      <w:r>
        <w:rPr>
          <w:rStyle w:val="12"/>
          <w:rFonts w:hint="eastAsia" w:ascii="仿宋" w:hAnsi="仿宋" w:eastAsia="仿宋" w:cs="仿宋"/>
          <w:b w:val="0"/>
          <w:bCs w:val="0"/>
          <w:i w:val="0"/>
          <w:iCs w:val="0"/>
          <w:caps w:val="0"/>
          <w:color w:val="auto"/>
          <w:spacing w:val="0"/>
          <w:sz w:val="32"/>
          <w:szCs w:val="32"/>
          <w:shd w:val="clear" w:fill="FFFFFF"/>
        </w:rPr>
        <w:t>，对迟报、谎报、漏报、瞒报重要信息造成重大影响和不良后果的，</w:t>
      </w:r>
      <w:r>
        <w:rPr>
          <w:rStyle w:val="12"/>
          <w:rFonts w:hint="eastAsia" w:ascii="仿宋" w:hAnsi="仿宋" w:eastAsia="仿宋" w:cs="仿宋"/>
          <w:b w:val="0"/>
          <w:bCs w:val="0"/>
          <w:i w:val="0"/>
          <w:iCs w:val="0"/>
          <w:caps w:val="0"/>
          <w:color w:val="auto"/>
          <w:spacing w:val="0"/>
          <w:sz w:val="32"/>
          <w:szCs w:val="32"/>
          <w:shd w:val="clear" w:fill="FFFFFF"/>
          <w:lang w:val="en-US" w:eastAsia="zh-CN"/>
        </w:rPr>
        <w:t>甲方有权立即解除合同，扣除全部养护费用，</w:t>
      </w:r>
      <w:r>
        <w:rPr>
          <w:rStyle w:val="12"/>
          <w:rFonts w:hint="eastAsia" w:ascii="仿宋" w:hAnsi="仿宋" w:eastAsia="仿宋" w:cs="仿宋"/>
          <w:b w:val="0"/>
          <w:bCs w:val="0"/>
          <w:i w:val="0"/>
          <w:iCs w:val="0"/>
          <w:caps w:val="0"/>
          <w:color w:val="auto"/>
          <w:spacing w:val="0"/>
          <w:sz w:val="32"/>
          <w:szCs w:val="32"/>
          <w:shd w:val="clear" w:fill="FFFFFF"/>
        </w:rPr>
        <w:t>严肃追究责任</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1F542FB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leftChars="200" w:right="0" w:rightChars="0" w:firstLine="320" w:firstLineChars="1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5、</w:t>
      </w:r>
      <w:r>
        <w:rPr>
          <w:rStyle w:val="12"/>
          <w:rFonts w:hint="eastAsia" w:ascii="仿宋" w:hAnsi="仿宋" w:eastAsia="仿宋" w:cs="仿宋"/>
          <w:b w:val="0"/>
          <w:bCs w:val="0"/>
          <w:i w:val="0"/>
          <w:iCs w:val="0"/>
          <w:caps w:val="0"/>
          <w:color w:val="auto"/>
          <w:spacing w:val="0"/>
          <w:sz w:val="32"/>
          <w:szCs w:val="32"/>
          <w:shd w:val="clear" w:fill="FFFFFF"/>
        </w:rPr>
        <w:t>极端天气及重大灾害响应</w:t>
      </w:r>
    </w:p>
    <w:p w14:paraId="2C36B88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在遭遇极端天气、重大灾害或意外事件时，乙方应无条件服从甲方的统一指挥，迅速启动应急响应，调度人员、机械、物资、车辆等资源进行应急抢险工作。对于因树木倾斜、倒伏、断枝等导致的道路阻塞、对行人、车辆、市政设施、建（构）筑物构成安全威胁的情况，乙方应立即采取支撑、移除、修剪等措施，确保道路畅通，消除安全隐患。乙方在抢险作业过程中，应采取有效措施避免或减少对周边环境、设施及公众安全的负面影响。</w:t>
      </w:r>
    </w:p>
    <w:p w14:paraId="1222FA6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leftChars="200" w:right="0" w:rightChars="0" w:firstLine="320" w:firstLineChars="1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6、</w:t>
      </w:r>
      <w:r>
        <w:rPr>
          <w:rStyle w:val="12"/>
          <w:rFonts w:hint="eastAsia" w:ascii="仿宋" w:hAnsi="仿宋" w:eastAsia="仿宋" w:cs="仿宋"/>
          <w:b w:val="0"/>
          <w:bCs w:val="0"/>
          <w:i w:val="0"/>
          <w:iCs w:val="0"/>
          <w:caps w:val="0"/>
          <w:color w:val="auto"/>
          <w:spacing w:val="0"/>
          <w:sz w:val="32"/>
          <w:szCs w:val="32"/>
          <w:shd w:val="clear" w:fill="FFFFFF"/>
        </w:rPr>
        <w:t>应急抢险作业规范</w:t>
      </w:r>
    </w:p>
    <w:p w14:paraId="0FD95DF1">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乙方应严格遵守国家和地方关于应急抢险工作的相关规定和标准，确保抢险作业的合规性和安全性。</w:t>
      </w:r>
    </w:p>
    <w:p w14:paraId="1FE18627">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left="720" w:leftChars="0" w:right="0" w:rightChars="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7、</w:t>
      </w:r>
      <w:r>
        <w:rPr>
          <w:rStyle w:val="12"/>
          <w:rFonts w:hint="eastAsia" w:ascii="仿宋" w:hAnsi="仿宋" w:eastAsia="仿宋" w:cs="仿宋"/>
          <w:b w:val="0"/>
          <w:bCs w:val="0"/>
          <w:i w:val="0"/>
          <w:iCs w:val="0"/>
          <w:caps w:val="0"/>
          <w:color w:val="auto"/>
          <w:spacing w:val="0"/>
          <w:sz w:val="32"/>
          <w:szCs w:val="32"/>
          <w:shd w:val="clear" w:fill="FFFFFF"/>
        </w:rPr>
        <w:t>应急响应时间要求</w:t>
      </w:r>
    </w:p>
    <w:p w14:paraId="77083EBF">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乙方在接到甲方发出的应急抢险通知后，应立即启动应急抢险预案，并确保在通知发出后</w:t>
      </w:r>
      <w:r>
        <w:rPr>
          <w:rStyle w:val="12"/>
          <w:rFonts w:hint="eastAsia" w:ascii="仿宋" w:hAnsi="仿宋" w:eastAsia="仿宋" w:cs="仿宋"/>
          <w:b w:val="0"/>
          <w:bCs w:val="0"/>
          <w:i w:val="0"/>
          <w:iCs w:val="0"/>
          <w:caps w:val="0"/>
          <w:color w:val="auto"/>
          <w:spacing w:val="0"/>
          <w:sz w:val="32"/>
          <w:szCs w:val="32"/>
          <w:shd w:val="clear" w:fill="FFFFFF"/>
          <w:lang w:val="en-US" w:eastAsia="zh-CN"/>
        </w:rPr>
        <w:t>4</w:t>
      </w:r>
      <w:r>
        <w:rPr>
          <w:rStyle w:val="12"/>
          <w:rFonts w:hint="eastAsia" w:ascii="仿宋" w:hAnsi="仿宋" w:eastAsia="仿宋" w:cs="仿宋"/>
          <w:b w:val="0"/>
          <w:bCs w:val="0"/>
          <w:i w:val="0"/>
          <w:iCs w:val="0"/>
          <w:caps w:val="0"/>
          <w:color w:val="auto"/>
          <w:spacing w:val="0"/>
          <w:sz w:val="32"/>
          <w:szCs w:val="32"/>
          <w:shd w:val="clear" w:fill="FFFFFF"/>
        </w:rPr>
        <w:t>0分钟内到达现场展开抢险作业。一般事件应在</w:t>
      </w:r>
      <w:r>
        <w:rPr>
          <w:rStyle w:val="12"/>
          <w:rFonts w:hint="eastAsia" w:ascii="仿宋" w:hAnsi="仿宋" w:eastAsia="仿宋" w:cs="仿宋"/>
          <w:b w:val="0"/>
          <w:bCs w:val="0"/>
          <w:i w:val="0"/>
          <w:iCs w:val="0"/>
          <w:caps w:val="0"/>
          <w:color w:val="auto"/>
          <w:spacing w:val="0"/>
          <w:sz w:val="32"/>
          <w:szCs w:val="32"/>
          <w:shd w:val="clear" w:fill="FFFFFF"/>
          <w:lang w:val="en-US" w:eastAsia="zh-CN"/>
        </w:rPr>
        <w:t>1</w:t>
      </w:r>
      <w:r>
        <w:rPr>
          <w:rStyle w:val="12"/>
          <w:rFonts w:hint="eastAsia" w:ascii="仿宋" w:hAnsi="仿宋" w:eastAsia="仿宋" w:cs="仿宋"/>
          <w:b w:val="0"/>
          <w:bCs w:val="0"/>
          <w:i w:val="0"/>
          <w:iCs w:val="0"/>
          <w:caps w:val="0"/>
          <w:color w:val="auto"/>
          <w:spacing w:val="0"/>
          <w:sz w:val="32"/>
          <w:szCs w:val="32"/>
          <w:shd w:val="clear" w:fill="FFFFFF"/>
        </w:rPr>
        <w:t>小时内完成处置，对于极端天气、重大灾害事件，乙方应</w:t>
      </w:r>
      <w:r>
        <w:rPr>
          <w:rStyle w:val="12"/>
          <w:rFonts w:hint="eastAsia" w:ascii="仿宋" w:hAnsi="仿宋" w:eastAsia="仿宋" w:cs="仿宋"/>
          <w:b w:val="0"/>
          <w:bCs w:val="0"/>
          <w:i w:val="0"/>
          <w:iCs w:val="0"/>
          <w:caps w:val="0"/>
          <w:color w:val="auto"/>
          <w:spacing w:val="0"/>
          <w:sz w:val="32"/>
          <w:szCs w:val="32"/>
          <w:shd w:val="clear" w:fill="FFFFFF"/>
          <w:lang w:val="en-US" w:eastAsia="zh-CN"/>
        </w:rPr>
        <w:t>根据甲方对时限的要求</w:t>
      </w:r>
      <w:r>
        <w:rPr>
          <w:rStyle w:val="12"/>
          <w:rFonts w:hint="eastAsia" w:ascii="仿宋" w:hAnsi="仿宋" w:eastAsia="仿宋" w:cs="仿宋"/>
          <w:b w:val="0"/>
          <w:bCs w:val="0"/>
          <w:i w:val="0"/>
          <w:iCs w:val="0"/>
          <w:caps w:val="0"/>
          <w:color w:val="auto"/>
          <w:spacing w:val="0"/>
          <w:sz w:val="32"/>
          <w:szCs w:val="32"/>
          <w:shd w:val="clear" w:fill="FFFFFF"/>
        </w:rPr>
        <w:t>连续作业</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rPr>
        <w:t>直至消除全部安全隐患。</w:t>
      </w:r>
    </w:p>
    <w:p w14:paraId="5B35012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left="720" w:leftChars="0" w:right="0" w:rightChars="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8、</w:t>
      </w:r>
      <w:r>
        <w:rPr>
          <w:rStyle w:val="12"/>
          <w:rFonts w:hint="eastAsia" w:ascii="仿宋" w:hAnsi="仿宋" w:eastAsia="仿宋" w:cs="仿宋"/>
          <w:b w:val="0"/>
          <w:bCs w:val="0"/>
          <w:i w:val="0"/>
          <w:iCs w:val="0"/>
          <w:caps w:val="0"/>
          <w:color w:val="auto"/>
          <w:spacing w:val="0"/>
          <w:sz w:val="32"/>
          <w:szCs w:val="32"/>
          <w:shd w:val="clear" w:fill="FFFFFF"/>
        </w:rPr>
        <w:t>抢险范围与调动</w:t>
      </w:r>
    </w:p>
    <w:p w14:paraId="57FF083E">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甲方有权根据应急处置工作的需要，统一安排乙方应急保障人员对养护范围以外的区域进行应急处置工作，乙方对此应无条件服从。</w:t>
      </w:r>
    </w:p>
    <w:p w14:paraId="6AD423B1">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left="720" w:leftChars="0" w:right="0" w:rightChars="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9、</w:t>
      </w:r>
      <w:r>
        <w:rPr>
          <w:rStyle w:val="12"/>
          <w:rFonts w:hint="eastAsia" w:ascii="仿宋" w:hAnsi="仿宋" w:eastAsia="仿宋" w:cs="仿宋"/>
          <w:b w:val="0"/>
          <w:bCs w:val="0"/>
          <w:i w:val="0"/>
          <w:iCs w:val="0"/>
          <w:caps w:val="0"/>
          <w:color w:val="auto"/>
          <w:spacing w:val="0"/>
          <w:sz w:val="32"/>
          <w:szCs w:val="32"/>
          <w:shd w:val="clear" w:fill="FFFFFF"/>
        </w:rPr>
        <w:t>抢险资源配备</w:t>
      </w:r>
    </w:p>
    <w:p w14:paraId="6A1E163C">
      <w:pPr>
        <w:keepNext w:val="0"/>
        <w:keepLines w:val="0"/>
        <w:pageBreakBefore w:val="0"/>
        <w:widowControl/>
        <w:numPr>
          <w:ilvl w:val="0"/>
          <w:numId w:val="1"/>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乙方应根据抢险工作需求，配备足够的人力资源，确保抢险作业的顺利进行。参与抢险的人员应具备必要的技能和经验，且已接受过相关安全培训</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rPr>
        <w:t>乙方应急抢险队伍人数不得少于</w:t>
      </w:r>
      <w:r>
        <w:rPr>
          <w:rStyle w:val="12"/>
          <w:rFonts w:hint="eastAsia" w:ascii="仿宋" w:hAnsi="仿宋" w:eastAsia="仿宋" w:cs="仿宋"/>
          <w:b w:val="0"/>
          <w:bCs w:val="0"/>
          <w:i w:val="0"/>
          <w:iCs w:val="0"/>
          <w:caps w:val="0"/>
          <w:color w:val="auto"/>
          <w:spacing w:val="0"/>
          <w:sz w:val="32"/>
          <w:szCs w:val="32"/>
          <w:shd w:val="clear" w:fill="FFFFFF"/>
          <w:lang w:val="en-US" w:eastAsia="zh-CN"/>
        </w:rPr>
        <w:t>12</w:t>
      </w:r>
      <w:r>
        <w:rPr>
          <w:rStyle w:val="12"/>
          <w:rFonts w:hint="eastAsia" w:ascii="仿宋" w:hAnsi="仿宋" w:eastAsia="仿宋" w:cs="仿宋"/>
          <w:b w:val="0"/>
          <w:bCs w:val="0"/>
          <w:i w:val="0"/>
          <w:iCs w:val="0"/>
          <w:caps w:val="0"/>
          <w:color w:val="auto"/>
          <w:spacing w:val="0"/>
          <w:sz w:val="32"/>
          <w:szCs w:val="32"/>
          <w:shd w:val="clear" w:fill="FFFFFF"/>
        </w:rPr>
        <w:t>人</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124A6A44">
      <w:pPr>
        <w:keepNext w:val="0"/>
        <w:keepLines w:val="0"/>
        <w:pageBreakBefore w:val="0"/>
        <w:widowControl/>
        <w:numPr>
          <w:ilvl w:val="0"/>
          <w:numId w:val="1"/>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乙方应配备相应的抢险车辆、机械和物资，包括但不限于剪枝机、吊车、铲车、油锯、绳索、安全装备等，并确保上述设备设施处于良好工作状态，随时可供调遣。乙方应配备</w:t>
      </w:r>
      <w:r>
        <w:rPr>
          <w:rStyle w:val="12"/>
          <w:rFonts w:hint="eastAsia" w:ascii="仿宋" w:hAnsi="仿宋" w:eastAsia="仿宋" w:cs="仿宋"/>
          <w:b w:val="0"/>
          <w:bCs w:val="0"/>
          <w:i w:val="0"/>
          <w:iCs w:val="0"/>
          <w:caps w:val="0"/>
          <w:color w:val="auto"/>
          <w:spacing w:val="0"/>
          <w:sz w:val="32"/>
          <w:szCs w:val="32"/>
          <w:shd w:val="clear" w:fill="FFFFFF"/>
          <w:lang w:val="en-US" w:eastAsia="zh-CN"/>
        </w:rPr>
        <w:t>轻</w:t>
      </w:r>
      <w:r>
        <w:rPr>
          <w:rStyle w:val="12"/>
          <w:rFonts w:hint="eastAsia" w:ascii="仿宋" w:hAnsi="仿宋" w:eastAsia="仿宋" w:cs="仿宋"/>
          <w:b w:val="0"/>
          <w:bCs w:val="0"/>
          <w:i w:val="0"/>
          <w:iCs w:val="0"/>
          <w:caps w:val="0"/>
          <w:color w:val="auto"/>
          <w:spacing w:val="0"/>
          <w:sz w:val="32"/>
          <w:szCs w:val="32"/>
          <w:shd w:val="clear" w:fill="FFFFFF"/>
        </w:rPr>
        <w:t>卡不少于</w:t>
      </w:r>
      <w:r>
        <w:rPr>
          <w:rStyle w:val="12"/>
          <w:rFonts w:hint="eastAsia" w:ascii="仿宋" w:hAnsi="仿宋" w:eastAsia="仿宋" w:cs="仿宋"/>
          <w:b w:val="0"/>
          <w:bCs w:val="0"/>
          <w:i w:val="0"/>
          <w:iCs w:val="0"/>
          <w:caps w:val="0"/>
          <w:color w:val="auto"/>
          <w:spacing w:val="0"/>
          <w:sz w:val="32"/>
          <w:szCs w:val="32"/>
          <w:shd w:val="clear" w:fill="FFFFFF"/>
          <w:lang w:val="en-US" w:eastAsia="zh-CN"/>
        </w:rPr>
        <w:t>3</w:t>
      </w:r>
      <w:r>
        <w:rPr>
          <w:rStyle w:val="12"/>
          <w:rFonts w:hint="eastAsia" w:ascii="仿宋" w:hAnsi="仿宋" w:eastAsia="仿宋" w:cs="仿宋"/>
          <w:b w:val="0"/>
          <w:bCs w:val="0"/>
          <w:i w:val="0"/>
          <w:iCs w:val="0"/>
          <w:caps w:val="0"/>
          <w:color w:val="auto"/>
          <w:spacing w:val="0"/>
          <w:sz w:val="32"/>
          <w:szCs w:val="32"/>
          <w:shd w:val="clear" w:fill="FFFFFF"/>
        </w:rPr>
        <w:t>辆</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10吨吊车不少于1辆。</w:t>
      </w:r>
    </w:p>
    <w:p w14:paraId="4FE39AF6">
      <w:pPr>
        <w:pStyle w:val="2"/>
        <w:rPr>
          <w:rStyle w:val="12"/>
          <w:rFonts w:hint="eastAsia" w:ascii="仿宋" w:hAnsi="仿宋" w:eastAsia="仿宋" w:cs="仿宋"/>
          <w:b w:val="0"/>
          <w:bCs w:val="0"/>
          <w:i w:val="0"/>
          <w:iCs w:val="0"/>
          <w:caps w:val="0"/>
          <w:color w:val="auto"/>
          <w:spacing w:val="0"/>
          <w:sz w:val="32"/>
          <w:szCs w:val="32"/>
          <w:shd w:val="clear" w:fill="FFFFFF"/>
          <w:lang w:val="en-US" w:eastAsia="zh-CN"/>
        </w:rPr>
      </w:pPr>
    </w:p>
    <w:p w14:paraId="08A57BBF">
      <w:pPr>
        <w:pStyle w:val="2"/>
        <w:rPr>
          <w:rStyle w:val="12"/>
          <w:rFonts w:hint="eastAsia" w:ascii="仿宋" w:hAnsi="仿宋" w:eastAsia="仿宋" w:cs="仿宋"/>
          <w:b w:val="0"/>
          <w:bCs w:val="0"/>
          <w:i w:val="0"/>
          <w:iCs w:val="0"/>
          <w:caps w:val="0"/>
          <w:color w:val="auto"/>
          <w:spacing w:val="0"/>
          <w:sz w:val="32"/>
          <w:szCs w:val="32"/>
          <w:shd w:val="clear" w:fill="FFFFFF"/>
          <w:lang w:val="en-US" w:eastAsia="zh-CN"/>
        </w:rPr>
      </w:pPr>
    </w:p>
    <w:p w14:paraId="184ED163">
      <w:pPr>
        <w:pStyle w:val="2"/>
        <w:rPr>
          <w:rStyle w:val="12"/>
          <w:rFonts w:hint="eastAsia" w:ascii="仿宋" w:hAnsi="仿宋" w:eastAsia="仿宋" w:cs="仿宋"/>
          <w:b w:val="0"/>
          <w:bCs w:val="0"/>
          <w:i w:val="0"/>
          <w:iCs w:val="0"/>
          <w:caps w:val="0"/>
          <w:color w:val="FF0000"/>
          <w:spacing w:val="0"/>
          <w:sz w:val="32"/>
          <w:szCs w:val="32"/>
          <w:shd w:val="clear" w:fill="FFFFFF"/>
          <w:lang w:val="en-US" w:eastAsia="zh-CN"/>
        </w:rPr>
      </w:pPr>
    </w:p>
    <w:tbl>
      <w:tblPr>
        <w:tblStyle w:val="10"/>
        <w:tblpPr w:leftFromText="180" w:rightFromText="180" w:vertAnchor="text" w:horzAnchor="page" w:tblpX="1534" w:tblpY="464"/>
        <w:tblOverlap w:val="never"/>
        <w:tblW w:w="89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584"/>
        <w:gridCol w:w="2257"/>
        <w:gridCol w:w="2257"/>
        <w:gridCol w:w="2257"/>
      </w:tblGrid>
      <w:tr w14:paraId="52017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641" w:type="dxa"/>
            <w:noWrap w:val="0"/>
            <w:vAlign w:val="center"/>
          </w:tcPr>
          <w:p w14:paraId="62A166E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kern w:val="0"/>
                <w:sz w:val="24"/>
                <w:szCs w:val="24"/>
                <w:lang w:val="en-US" w:eastAsia="zh-CN"/>
              </w:rPr>
            </w:pPr>
            <w:r>
              <w:rPr>
                <w:rFonts w:hint="eastAsia" w:ascii="仿宋" w:hAnsi="仿宋" w:eastAsia="仿宋" w:cs="仿宋"/>
                <w:b/>
                <w:bCs/>
                <w:color w:val="auto"/>
                <w:kern w:val="0"/>
                <w:sz w:val="24"/>
                <w:szCs w:val="24"/>
                <w:lang w:val="en-US" w:eastAsia="zh-CN"/>
              </w:rPr>
              <w:t>序号</w:t>
            </w:r>
          </w:p>
        </w:tc>
        <w:tc>
          <w:tcPr>
            <w:tcW w:w="1584" w:type="dxa"/>
            <w:noWrap w:val="0"/>
            <w:vAlign w:val="center"/>
          </w:tcPr>
          <w:p w14:paraId="30177EC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kern w:val="0"/>
                <w:sz w:val="24"/>
                <w:szCs w:val="24"/>
                <w:lang w:val="en-US" w:eastAsia="zh-CN"/>
              </w:rPr>
            </w:pPr>
            <w:r>
              <w:rPr>
                <w:rFonts w:hint="eastAsia" w:ascii="仿宋" w:hAnsi="仿宋" w:eastAsia="仿宋" w:cs="仿宋"/>
                <w:b/>
                <w:bCs/>
                <w:color w:val="auto"/>
                <w:kern w:val="0"/>
                <w:sz w:val="24"/>
                <w:szCs w:val="24"/>
                <w:lang w:val="en-US" w:eastAsia="zh-CN"/>
              </w:rPr>
              <w:t>设备名称</w:t>
            </w:r>
          </w:p>
        </w:tc>
        <w:tc>
          <w:tcPr>
            <w:tcW w:w="2257" w:type="dxa"/>
            <w:noWrap w:val="0"/>
            <w:vAlign w:val="center"/>
          </w:tcPr>
          <w:p w14:paraId="7C7F1CB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kern w:val="0"/>
                <w:sz w:val="24"/>
                <w:szCs w:val="24"/>
                <w:lang w:val="en-US" w:eastAsia="zh-CN"/>
              </w:rPr>
            </w:pPr>
            <w:r>
              <w:rPr>
                <w:rFonts w:hint="eastAsia" w:ascii="仿宋" w:hAnsi="仿宋" w:eastAsia="仿宋" w:cs="仿宋"/>
                <w:b/>
                <w:bCs/>
                <w:color w:val="auto"/>
                <w:kern w:val="0"/>
                <w:sz w:val="24"/>
                <w:szCs w:val="24"/>
                <w:lang w:val="en-US" w:eastAsia="zh-CN"/>
              </w:rPr>
              <w:t>数量</w:t>
            </w:r>
          </w:p>
        </w:tc>
        <w:tc>
          <w:tcPr>
            <w:tcW w:w="2257" w:type="dxa"/>
            <w:noWrap w:val="0"/>
            <w:vAlign w:val="center"/>
          </w:tcPr>
          <w:p w14:paraId="530602B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kern w:val="0"/>
                <w:sz w:val="24"/>
                <w:szCs w:val="24"/>
                <w:lang w:val="en-US" w:eastAsia="zh-CN"/>
              </w:rPr>
            </w:pPr>
            <w:r>
              <w:rPr>
                <w:rFonts w:hint="eastAsia" w:ascii="仿宋" w:hAnsi="仿宋" w:eastAsia="仿宋" w:cs="仿宋"/>
                <w:b/>
                <w:bCs/>
                <w:color w:val="auto"/>
                <w:kern w:val="0"/>
                <w:sz w:val="24"/>
                <w:szCs w:val="24"/>
                <w:lang w:val="en-US" w:eastAsia="zh-CN"/>
              </w:rPr>
              <w:t>车牌号（型号）</w:t>
            </w:r>
          </w:p>
        </w:tc>
        <w:tc>
          <w:tcPr>
            <w:tcW w:w="2257" w:type="dxa"/>
            <w:noWrap w:val="0"/>
            <w:vAlign w:val="center"/>
          </w:tcPr>
          <w:p w14:paraId="2D97EF0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kern w:val="0"/>
                <w:sz w:val="24"/>
                <w:szCs w:val="24"/>
                <w:lang w:val="en-US" w:eastAsia="zh-CN"/>
              </w:rPr>
            </w:pPr>
            <w:r>
              <w:rPr>
                <w:rFonts w:hint="eastAsia" w:ascii="仿宋" w:hAnsi="仿宋" w:eastAsia="仿宋" w:cs="仿宋"/>
                <w:b/>
                <w:bCs/>
                <w:color w:val="auto"/>
                <w:kern w:val="0"/>
                <w:sz w:val="24"/>
                <w:szCs w:val="24"/>
                <w:lang w:val="en-US" w:eastAsia="zh-CN"/>
              </w:rPr>
              <w:t>使用年限</w:t>
            </w:r>
          </w:p>
        </w:tc>
      </w:tr>
      <w:tr w14:paraId="2CFD2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5" w:hRule="atLeast"/>
        </w:trPr>
        <w:tc>
          <w:tcPr>
            <w:tcW w:w="641" w:type="dxa"/>
            <w:noWrap w:val="0"/>
            <w:vAlign w:val="center"/>
          </w:tcPr>
          <w:p w14:paraId="5528E7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1</w:t>
            </w:r>
          </w:p>
        </w:tc>
        <w:tc>
          <w:tcPr>
            <w:tcW w:w="1584" w:type="dxa"/>
            <w:noWrap w:val="0"/>
            <w:vAlign w:val="center"/>
          </w:tcPr>
          <w:p w14:paraId="23F315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olor w:val="auto"/>
                <w:kern w:val="0"/>
                <w:sz w:val="24"/>
                <w:szCs w:val="24"/>
                <w:lang w:eastAsia="zh-CN"/>
              </w:rPr>
            </w:pPr>
            <w:r>
              <w:rPr>
                <w:rStyle w:val="12"/>
                <w:rFonts w:hint="eastAsia" w:ascii="仿宋" w:hAnsi="仿宋" w:eastAsia="仿宋" w:cs="仿宋"/>
                <w:b w:val="0"/>
                <w:bCs w:val="0"/>
                <w:i w:val="0"/>
                <w:iCs w:val="0"/>
                <w:caps w:val="0"/>
                <w:color w:val="auto"/>
                <w:spacing w:val="0"/>
                <w:sz w:val="24"/>
                <w:szCs w:val="24"/>
                <w:shd w:val="clear" w:color="auto" w:fill="FFFFFF"/>
                <w:lang w:val="en-US" w:eastAsia="zh-CN"/>
              </w:rPr>
              <w:t>轻</w:t>
            </w:r>
            <w:r>
              <w:rPr>
                <w:rStyle w:val="12"/>
                <w:rFonts w:hint="eastAsia" w:ascii="仿宋" w:hAnsi="仿宋" w:eastAsia="仿宋" w:cs="仿宋"/>
                <w:b w:val="0"/>
                <w:bCs w:val="0"/>
                <w:i w:val="0"/>
                <w:iCs w:val="0"/>
                <w:caps w:val="0"/>
                <w:color w:val="auto"/>
                <w:spacing w:val="0"/>
                <w:sz w:val="24"/>
                <w:szCs w:val="24"/>
                <w:shd w:val="clear" w:color="auto" w:fill="FFFFFF"/>
              </w:rPr>
              <w:t>卡</w:t>
            </w:r>
          </w:p>
        </w:tc>
        <w:tc>
          <w:tcPr>
            <w:tcW w:w="2257" w:type="dxa"/>
            <w:noWrap w:val="0"/>
            <w:vAlign w:val="center"/>
          </w:tcPr>
          <w:p w14:paraId="6BD5EC2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c>
          <w:tcPr>
            <w:tcW w:w="2257" w:type="dxa"/>
            <w:noWrap w:val="0"/>
            <w:vAlign w:val="center"/>
          </w:tcPr>
          <w:p w14:paraId="2FAE79B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c>
          <w:tcPr>
            <w:tcW w:w="2257" w:type="dxa"/>
            <w:noWrap w:val="0"/>
            <w:vAlign w:val="center"/>
          </w:tcPr>
          <w:p w14:paraId="41A711E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r>
      <w:tr w14:paraId="06527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3" w:hRule="atLeast"/>
        </w:trPr>
        <w:tc>
          <w:tcPr>
            <w:tcW w:w="641" w:type="dxa"/>
            <w:noWrap w:val="0"/>
            <w:vAlign w:val="center"/>
          </w:tcPr>
          <w:p w14:paraId="778475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2</w:t>
            </w:r>
          </w:p>
        </w:tc>
        <w:tc>
          <w:tcPr>
            <w:tcW w:w="1584" w:type="dxa"/>
            <w:noWrap w:val="0"/>
            <w:vAlign w:val="center"/>
          </w:tcPr>
          <w:p w14:paraId="31B7A4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olor w:val="auto"/>
                <w:kern w:val="0"/>
                <w:sz w:val="24"/>
                <w:szCs w:val="24"/>
                <w:lang w:val="en-US" w:eastAsia="zh-CN"/>
              </w:rPr>
            </w:pPr>
            <w:r>
              <w:rPr>
                <w:rStyle w:val="12"/>
                <w:rFonts w:hint="eastAsia" w:ascii="仿宋" w:hAnsi="仿宋" w:eastAsia="仿宋" w:cs="仿宋"/>
                <w:b w:val="0"/>
                <w:bCs w:val="0"/>
                <w:i w:val="0"/>
                <w:iCs w:val="0"/>
                <w:caps w:val="0"/>
                <w:color w:val="auto"/>
                <w:spacing w:val="0"/>
                <w:sz w:val="24"/>
                <w:szCs w:val="24"/>
                <w:shd w:val="clear" w:color="auto" w:fill="FFFFFF"/>
                <w:lang w:val="en-US" w:eastAsia="zh-CN"/>
              </w:rPr>
              <w:t>吊车</w:t>
            </w:r>
          </w:p>
        </w:tc>
        <w:tc>
          <w:tcPr>
            <w:tcW w:w="2257" w:type="dxa"/>
            <w:noWrap w:val="0"/>
            <w:vAlign w:val="center"/>
          </w:tcPr>
          <w:p w14:paraId="40AAEDB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c>
          <w:tcPr>
            <w:tcW w:w="2257" w:type="dxa"/>
            <w:noWrap w:val="0"/>
            <w:vAlign w:val="center"/>
          </w:tcPr>
          <w:p w14:paraId="62BEA48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c>
          <w:tcPr>
            <w:tcW w:w="2257" w:type="dxa"/>
            <w:noWrap w:val="0"/>
            <w:vAlign w:val="center"/>
          </w:tcPr>
          <w:p w14:paraId="4440AB7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color w:val="auto"/>
                <w:kern w:val="0"/>
                <w:sz w:val="24"/>
                <w:szCs w:val="24"/>
              </w:rPr>
            </w:pPr>
          </w:p>
        </w:tc>
      </w:tr>
    </w:tbl>
    <w:p w14:paraId="2EDEFA2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（3）乙方应储备充足的抢险物资，包括但不限于应急照明设备、防护用品、临时支撑材料、清理工具等，并定期检查更新，确保紧急情况下物资能迅速投入使用。</w:t>
      </w:r>
    </w:p>
    <w:p w14:paraId="34209ACF">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10、</w:t>
      </w:r>
      <w:r>
        <w:rPr>
          <w:rStyle w:val="12"/>
          <w:rFonts w:hint="eastAsia" w:ascii="仿宋" w:hAnsi="仿宋" w:eastAsia="仿宋" w:cs="仿宋"/>
          <w:b w:val="0"/>
          <w:bCs w:val="0"/>
          <w:i w:val="0"/>
          <w:iCs w:val="0"/>
          <w:caps w:val="0"/>
          <w:color w:val="auto"/>
          <w:spacing w:val="0"/>
          <w:sz w:val="32"/>
          <w:szCs w:val="32"/>
          <w:shd w:val="clear" w:fill="FFFFFF"/>
        </w:rPr>
        <w:t>损失赔偿</w:t>
      </w:r>
    </w:p>
    <w:p w14:paraId="1BE2884E">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乙方养护范围内发生树木树枝断裂、倾倒等事件对第三方造成人身、财产损失的，由甲方购买的商业保险进行赔偿后，乙方承担免赔额部分的赔偿责任。</w:t>
      </w:r>
    </w:p>
    <w:p w14:paraId="635FCAD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11、</w:t>
      </w:r>
      <w:r>
        <w:rPr>
          <w:rStyle w:val="12"/>
          <w:rFonts w:hint="eastAsia" w:ascii="仿宋" w:hAnsi="仿宋" w:eastAsia="仿宋" w:cs="仿宋"/>
          <w:b w:val="0"/>
          <w:bCs w:val="0"/>
          <w:i w:val="0"/>
          <w:iCs w:val="0"/>
          <w:caps w:val="0"/>
          <w:color w:val="auto"/>
          <w:spacing w:val="0"/>
          <w:sz w:val="32"/>
          <w:szCs w:val="32"/>
          <w:shd w:val="clear" w:fill="FFFFFF"/>
        </w:rPr>
        <w:t>灾后处置</w:t>
      </w:r>
    </w:p>
    <w:p w14:paraId="0F01CF6A">
      <w:pPr>
        <w:keepNext w:val="0"/>
        <w:keepLines w:val="0"/>
        <w:pageBreakBefore w:val="0"/>
        <w:widowControl/>
        <w:numPr>
          <w:ilvl w:val="0"/>
          <w:numId w:val="2"/>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乙方在应急处置工作结束后，应确保抢险作业过程中产生的废弃物得到妥善处理，符合环保要求。</w:t>
      </w:r>
    </w:p>
    <w:p w14:paraId="1524377F">
      <w:pPr>
        <w:keepNext w:val="0"/>
        <w:keepLines w:val="0"/>
        <w:pageBreakBefore w:val="0"/>
        <w:widowControl/>
        <w:numPr>
          <w:ilvl w:val="0"/>
          <w:numId w:val="2"/>
        </w:numPr>
        <w:suppressLineNumbers w:val="0"/>
        <w:kinsoku/>
        <w:wordWrap w:val="0"/>
        <w:overflowPunct/>
        <w:topLinePunct w:val="0"/>
        <w:autoSpaceDE/>
        <w:autoSpaceDN/>
        <w:bidi w:val="0"/>
        <w:spacing w:before="53" w:beforeAutospacing="0" w:after="0" w:afterAutospacing="0" w:line="560" w:lineRule="exact"/>
        <w:ind w:left="0" w:leftChars="0"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乙方应对极端灾害天气造成的绿化苗木损失进行全面检查，统计灾害中损毁的绿化苗木及相关设施数量，同时检查养护范围内是否存在安全隐患。</w:t>
      </w:r>
    </w:p>
    <w:p w14:paraId="6C235CB2">
      <w:pPr>
        <w:keepNext w:val="0"/>
        <w:keepLines w:val="0"/>
        <w:pageBreakBefore w:val="0"/>
        <w:widowControl/>
        <w:numPr>
          <w:ilvl w:val="0"/>
          <w:numId w:val="2"/>
        </w:numPr>
        <w:suppressLineNumbers w:val="0"/>
        <w:kinsoku/>
        <w:wordWrap w:val="0"/>
        <w:overflowPunct/>
        <w:topLinePunct w:val="0"/>
        <w:autoSpaceDE/>
        <w:autoSpaceDN/>
        <w:bidi w:val="0"/>
        <w:spacing w:before="53" w:beforeAutospacing="0" w:after="0" w:afterAutospacing="0" w:line="560" w:lineRule="exact"/>
        <w:ind w:left="0" w:leftChars="0"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乙方应及时修复灾害中损毁的绿化护栏、树池等相关设施。</w:t>
      </w:r>
    </w:p>
    <w:p w14:paraId="6BF88E4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（4）根据气候条件及植物生长规律，乙方应及时补种损毁的绿化苗木。</w:t>
      </w:r>
    </w:p>
    <w:p w14:paraId="7CD6BDE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12、</w:t>
      </w:r>
      <w:r>
        <w:rPr>
          <w:rStyle w:val="12"/>
          <w:rFonts w:hint="eastAsia" w:ascii="仿宋" w:hAnsi="仿宋" w:eastAsia="仿宋" w:cs="仿宋"/>
          <w:b w:val="0"/>
          <w:bCs w:val="0"/>
          <w:i w:val="0"/>
          <w:iCs w:val="0"/>
          <w:caps w:val="0"/>
          <w:color w:val="auto"/>
          <w:spacing w:val="0"/>
          <w:sz w:val="32"/>
          <w:szCs w:val="32"/>
          <w:shd w:val="clear" w:fill="FFFFFF"/>
        </w:rPr>
        <w:t>违约责任</w:t>
      </w:r>
    </w:p>
    <w:p w14:paraId="50C0E39B">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乙方应严格遵守本合同约定的应急响应时间，确保在接到甲方通知后，及时派遣专业人员、配备必要的机械与车辆到达现场进行抢险作业。如乙方未能在约定时间内到达现场，或因处理不及时导致险情扩大，甲方有权扣除人民币5000/次作为违约金，并在当月的考评中扣除相应的分数，且不影响甲方进一步追究乙方因延误抢险造成的其他经济损失的权利。</w:t>
      </w:r>
    </w:p>
    <w:p w14:paraId="0714841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乙方应确保应急抢险人员、机械、车辆的配备符合本合同约定的标准，确保抢险工作的高效、有序进行。如乙方在抢险过程中出现人员、机械、车辆配备不足或不符合约定标准的情况，甲方有权扣除人民币8000元/次作为违约金，并在当月的考评中扣除相应的分数。</w:t>
      </w:r>
    </w:p>
    <w:p w14:paraId="627D6EB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（3）如乙方连续两次出现上述资源配置不达标的情况，甲方有权解除合同，扣除全部养护费用，并保留进一步追究乙方违约责任的权利。</w:t>
      </w:r>
    </w:p>
    <w:p w14:paraId="642127C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乙方应服从甲方在应急抢险工作中的统一调度与指挥，积极配合甲方及相关部门开展抢险工作。如乙方首次出现不服从统一调度的行为，甲方有权扣除10000元/次作为违约金，并在当月的考评中扣除相应的分数。如乙方再次出现不服从统一调度的行为，甲方有权立即终止本合同，扣除全部养护费用，且乙方应自行承担由此产生的全部经济损失，甲方无需对乙方进行任何形式的赔偿或补偿。</w:t>
      </w:r>
    </w:p>
    <w:p w14:paraId="478BD371">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（5）因乙方原因导致抢险作业未能达到预期效果，造成甲方或第三方额外损失的，乙方应全额赔偿甲方或第三方因此遭受的直接与间接经济损失，包括但不限于修复费用、第三方索赔等。</w:t>
      </w:r>
    </w:p>
    <w:p w14:paraId="304B8C0A">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6）乙方应确保其工作人员在抢险作业过程中遵守相关法律法规及安全操作规程，采取有效措施防止对第三方造成人身、财产损害。如乙方工作人员在抢险过程中违反相关法律法规或安全操作规程，导致第三方人身、财产损害，乙方应承担全部法律责任，甲方对此不承担任何连带责任。</w:t>
      </w:r>
    </w:p>
    <w:p w14:paraId="31E2AE9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3" w:firstLineChars="200"/>
        <w:textAlignment w:val="auto"/>
        <w:outlineLvl w:val="1"/>
        <w:rPr>
          <w:rFonts w:hint="eastAsia" w:ascii="仿宋" w:hAnsi="仿宋" w:eastAsia="仿宋" w:cs="仿宋"/>
          <w:b/>
          <w:color w:val="auto"/>
          <w:sz w:val="32"/>
          <w:szCs w:val="32"/>
          <w:lang w:val="en-US" w:eastAsia="zh-CN"/>
        </w:rPr>
      </w:pPr>
      <w:r>
        <w:rPr>
          <w:rFonts w:hint="eastAsia" w:ascii="仿宋" w:hAnsi="仿宋" w:eastAsia="仿宋" w:cs="仿宋"/>
          <w:b/>
          <w:color w:val="auto"/>
          <w:sz w:val="32"/>
          <w:szCs w:val="32"/>
          <w:lang w:val="en-US" w:eastAsia="zh-CN"/>
        </w:rPr>
        <w:t>第十条  设施维护工作要求</w:t>
      </w:r>
    </w:p>
    <w:p w14:paraId="568C28D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1、通用要求</w:t>
      </w:r>
    </w:p>
    <w:p w14:paraId="4545169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（1）设施维护包括设施的清洁、完整、安全、检修、翻新、规整等，均应符合GB55014、DBJ61/T 110 相关规定。</w:t>
      </w:r>
    </w:p>
    <w:p w14:paraId="734D75D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（2）园林建筑类设施维护主要包括景观观赏、服务休憩和活动展示的建（构）筑物的维护。包含亭、榭、廊、阁等景观建筑，游客服务中心、售票房、医疗救助站、餐饮、售卖 等服务建筑，活动场馆、展览馆等文化建筑。</w:t>
      </w:r>
    </w:p>
    <w:p w14:paraId="1C5D14BE">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小品设施类设施维护主要包括景观观赏、服务休憩的小品设施的维护。包含景观水体，假山叠石及雕塑小品，园路广场、休息座椅、游乐健身设施、垃圾台、垃圾箱、灭烟柱、标识标牌等服务小品，花坛花箱、树池护栅、围墙护栏、挡土墙等附属小品。</w:t>
      </w:r>
    </w:p>
    <w:p w14:paraId="23706E4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（4）管理服务类设施维护主要包括日常管理服务的建筑及设施的维护。包括公厕、管理用房及设施，给水排水设施、供电照明设施、公共广播设施、监控设施，应急避险设施，无障碍设施等。</w:t>
      </w:r>
    </w:p>
    <w:p w14:paraId="18643C5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（5）乙方应及时保洁，外观保持整洁、美观、无污损。金属类板材、 玻璃、石材、面砖等建（构）筑物外立面应定期清洗，涂料类外立面应及时翻新，保持整洁。</w:t>
      </w:r>
    </w:p>
    <w:p w14:paraId="0D0E4B53">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（6）乙方应定期检查检测，保持构件安全稳固、完整无损。有钢结构的建（构）筑物及设施，应及时保养，防止表面生锈；有彩绘、木结构的建（构）筑物及设施，应定期翻新、防腐、防蛀等，应符合 GB50212 相关规范。</w:t>
      </w:r>
    </w:p>
    <w:p w14:paraId="14EB42B5">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（7）维护施工期间应在醒目位置设置告示及警示标识，并采取措施，消除安全隐患。修</w:t>
      </w:r>
      <w:bookmarkStart w:id="0" w:name="bookmark34"/>
      <w:bookmarkEnd w:id="0"/>
      <w:r>
        <w:rPr>
          <w:rStyle w:val="12"/>
          <w:rFonts w:hint="eastAsia" w:ascii="仿宋" w:hAnsi="仿宋" w:eastAsia="仿宋" w:cs="仿宋"/>
          <w:b w:val="0"/>
          <w:bCs w:val="0"/>
          <w:i w:val="0"/>
          <w:iCs w:val="0"/>
          <w:caps w:val="0"/>
          <w:color w:val="auto"/>
          <w:spacing w:val="0"/>
          <w:sz w:val="32"/>
          <w:szCs w:val="32"/>
          <w:shd w:val="clear" w:fill="FFFFFF"/>
          <w:lang w:val="en-US" w:eastAsia="zh-CN"/>
        </w:rPr>
        <w:t>补时与原材质外观保持一致。</w:t>
      </w:r>
    </w:p>
    <w:p w14:paraId="430C5137">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2、</w:t>
      </w:r>
      <w:r>
        <w:rPr>
          <w:rStyle w:val="12"/>
          <w:rFonts w:hint="eastAsia" w:ascii="仿宋" w:hAnsi="仿宋" w:eastAsia="仿宋" w:cs="仿宋"/>
          <w:b w:val="0"/>
          <w:bCs w:val="0"/>
          <w:i w:val="0"/>
          <w:iCs w:val="0"/>
          <w:caps w:val="0"/>
          <w:color w:val="auto"/>
          <w:spacing w:val="0"/>
          <w:sz w:val="32"/>
          <w:szCs w:val="32"/>
          <w:shd w:val="clear" w:fill="FFFFFF"/>
        </w:rPr>
        <w:t>园林建筑类设施维护</w:t>
      </w:r>
    </w:p>
    <w:p w14:paraId="0A4DCC3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w:t>
      </w:r>
      <w:r>
        <w:rPr>
          <w:rStyle w:val="12"/>
          <w:rFonts w:hint="eastAsia" w:ascii="仿宋" w:hAnsi="仿宋" w:eastAsia="仿宋" w:cs="仿宋"/>
          <w:b w:val="0"/>
          <w:bCs w:val="0"/>
          <w:i w:val="0"/>
          <w:iCs w:val="0"/>
          <w:caps w:val="0"/>
          <w:color w:val="auto"/>
          <w:spacing w:val="0"/>
          <w:sz w:val="32"/>
          <w:szCs w:val="32"/>
          <w:shd w:val="clear" w:fill="FFFFFF"/>
        </w:rPr>
        <w:t>应保持亭、榭、廊、阁等景观建筑内外地（表）面干净、平整防滑，无凹凸、无破损；及时清扫屋面，保持无落叶、杂草。</w:t>
      </w:r>
    </w:p>
    <w:p w14:paraId="607C8C0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bookmarkStart w:id="1" w:name="bookmark35"/>
      <w:bookmarkEnd w:id="1"/>
      <w:r>
        <w:rPr>
          <w:rStyle w:val="12"/>
          <w:rFonts w:hint="eastAsia" w:ascii="仿宋" w:hAnsi="仿宋" w:eastAsia="仿宋" w:cs="仿宋"/>
          <w:b w:val="0"/>
          <w:bCs w:val="0"/>
          <w:i w:val="0"/>
          <w:iCs w:val="0"/>
          <w:caps w:val="0"/>
          <w:color w:val="auto"/>
          <w:spacing w:val="0"/>
          <w:sz w:val="32"/>
          <w:szCs w:val="32"/>
          <w:shd w:val="clear" w:fill="FFFFFF"/>
          <w:lang w:val="en-US" w:eastAsia="zh-CN"/>
        </w:rPr>
        <w:t>3、</w:t>
      </w:r>
      <w:r>
        <w:rPr>
          <w:rStyle w:val="12"/>
          <w:rFonts w:hint="eastAsia" w:ascii="仿宋" w:hAnsi="仿宋" w:eastAsia="仿宋" w:cs="仿宋"/>
          <w:b w:val="0"/>
          <w:bCs w:val="0"/>
          <w:i w:val="0"/>
          <w:iCs w:val="0"/>
          <w:caps w:val="0"/>
          <w:color w:val="auto"/>
          <w:spacing w:val="0"/>
          <w:sz w:val="32"/>
          <w:szCs w:val="32"/>
          <w:shd w:val="clear" w:fill="FFFFFF"/>
        </w:rPr>
        <w:t>小品设施类设施维护</w:t>
      </w:r>
    </w:p>
    <w:p w14:paraId="03CFB54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1</w:t>
      </w:r>
      <w:r>
        <w:rPr>
          <w:rStyle w:val="12"/>
          <w:rFonts w:hint="eastAsia" w:ascii="仿宋" w:hAnsi="仿宋" w:eastAsia="仿宋" w:cs="仿宋"/>
          <w:b w:val="0"/>
          <w:bCs w:val="0"/>
          <w:i w:val="0"/>
          <w:iCs w:val="0"/>
          <w:caps w:val="0"/>
          <w:color w:val="auto"/>
          <w:spacing w:val="0"/>
          <w:sz w:val="32"/>
          <w:szCs w:val="32"/>
          <w:shd w:val="clear" w:fill="FFFFFF"/>
          <w:lang w:eastAsia="zh-CN"/>
        </w:rPr>
        <w:t>）景观水体</w:t>
      </w:r>
    </w:p>
    <w:p w14:paraId="27C1FD45">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景观水体水质应符合 GB3838 相关规定。用水为再生水时，水质应符合GB/T18921 相关规定。应保持水位正常，水体清洁无异味，水域应及时疏浚除污。</w:t>
      </w:r>
      <w:r>
        <w:rPr>
          <w:rStyle w:val="12"/>
          <w:rFonts w:hint="eastAsia" w:ascii="仿宋" w:hAnsi="仿宋" w:eastAsia="仿宋" w:cs="仿宋"/>
          <w:b w:val="0"/>
          <w:bCs w:val="0"/>
          <w:i w:val="0"/>
          <w:iCs w:val="0"/>
          <w:caps w:val="0"/>
          <w:color w:val="auto"/>
          <w:spacing w:val="0"/>
          <w:sz w:val="32"/>
          <w:szCs w:val="32"/>
          <w:shd w:val="clear" w:fill="FFFFFF"/>
          <w:lang w:val="en-US" w:eastAsia="zh-CN"/>
        </w:rPr>
        <w:t>及时</w:t>
      </w:r>
      <w:r>
        <w:rPr>
          <w:rStyle w:val="12"/>
          <w:rFonts w:hint="eastAsia" w:ascii="仿宋" w:hAnsi="仿宋" w:eastAsia="仿宋" w:cs="仿宋"/>
          <w:b w:val="0"/>
          <w:bCs w:val="0"/>
          <w:i w:val="0"/>
          <w:iCs w:val="0"/>
          <w:caps w:val="0"/>
          <w:color w:val="auto"/>
          <w:spacing w:val="0"/>
          <w:sz w:val="32"/>
          <w:szCs w:val="32"/>
          <w:shd w:val="clear" w:fill="FFFFFF"/>
        </w:rPr>
        <w:t>消除驳岸、池壁、护坡、护栏、挡墙等附属设施的安全隐患，确保正常运行。</w:t>
      </w:r>
    </w:p>
    <w:p w14:paraId="67A9A9D3">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2</w:t>
      </w:r>
      <w:r>
        <w:rPr>
          <w:rStyle w:val="12"/>
          <w:rFonts w:hint="eastAsia" w:ascii="仿宋" w:hAnsi="仿宋" w:eastAsia="仿宋" w:cs="仿宋"/>
          <w:b w:val="0"/>
          <w:bCs w:val="0"/>
          <w:i w:val="0"/>
          <w:iCs w:val="0"/>
          <w:caps w:val="0"/>
          <w:color w:val="auto"/>
          <w:spacing w:val="0"/>
          <w:sz w:val="32"/>
          <w:szCs w:val="32"/>
          <w:shd w:val="clear" w:fill="FFFFFF"/>
          <w:lang w:eastAsia="zh-CN"/>
        </w:rPr>
        <w:t>）假山叠石及雕塑小品</w:t>
      </w:r>
      <w:r>
        <w:rPr>
          <w:rStyle w:val="12"/>
          <w:rFonts w:hint="eastAsia" w:ascii="仿宋" w:hAnsi="仿宋" w:eastAsia="仿宋" w:cs="仿宋"/>
          <w:b/>
          <w:bCs/>
          <w:i w:val="0"/>
          <w:iCs w:val="0"/>
          <w:caps w:val="0"/>
          <w:color w:val="auto"/>
          <w:spacing w:val="0"/>
          <w:sz w:val="32"/>
          <w:szCs w:val="32"/>
          <w:shd w:val="clear" w:fill="FFFFFF"/>
          <w:lang w:val="en-US" w:eastAsia="zh-CN"/>
        </w:rPr>
        <w:t xml:space="preserve"> </w:t>
      </w:r>
      <w:r>
        <w:rPr>
          <w:rStyle w:val="12"/>
          <w:rFonts w:hint="eastAsia" w:ascii="仿宋" w:hAnsi="仿宋" w:eastAsia="仿宋" w:cs="仿宋"/>
          <w:b w:val="0"/>
          <w:bCs w:val="0"/>
          <w:i w:val="0"/>
          <w:iCs w:val="0"/>
          <w:caps w:val="0"/>
          <w:color w:val="auto"/>
          <w:spacing w:val="0"/>
          <w:sz w:val="32"/>
          <w:szCs w:val="32"/>
          <w:shd w:val="clear" w:fill="FFFFFF"/>
          <w:lang w:val="en-US" w:eastAsia="zh-CN"/>
        </w:rPr>
        <w:t xml:space="preserve"> </w:t>
      </w:r>
    </w:p>
    <w:p w14:paraId="72BC20E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保持主体安全、整洁，无影响安全和景观的杂草、杂物等。对安全隐患处定期检查检测，及时维修，确保安全。</w:t>
      </w:r>
    </w:p>
    <w:p w14:paraId="6B9827EA">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3</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rPr>
        <w:t>园路广场、休息座椅、游乐健身设施、垃圾箱、灭烟柱、标识标牌等服务小品</w:t>
      </w:r>
    </w:p>
    <w:p w14:paraId="3D6CCCA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rPr>
        <w:t>园路广场应及时清洗，保持面层平整防滑、完整无损，无积水及污渍</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坐凳清洁、稳固，无破损、松动现象</w:t>
      </w:r>
      <w:r>
        <w:rPr>
          <w:rStyle w:val="12"/>
          <w:rFonts w:hint="eastAsia" w:ascii="仿宋" w:hAnsi="仿宋" w:eastAsia="仿宋" w:cs="仿宋"/>
          <w:b w:val="0"/>
          <w:bCs w:val="0"/>
          <w:i w:val="0"/>
          <w:iCs w:val="0"/>
          <w:caps w:val="0"/>
          <w:color w:val="auto"/>
          <w:spacing w:val="0"/>
          <w:sz w:val="32"/>
          <w:szCs w:val="32"/>
          <w:shd w:val="clear" w:fill="FFFFFF"/>
        </w:rPr>
        <w:t>。休息座椅应每日擦洗、定期消毒，保持洁净</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定期进行检查和维修，确保游客使用安全。</w:t>
      </w:r>
    </w:p>
    <w:p w14:paraId="719234F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健身设施应确保设施功能正常，无安全隐患；及时修复或更换损坏、磨损部件，定期进行安全性能检测；</w:t>
      </w:r>
    </w:p>
    <w:p w14:paraId="4359C1CA">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儿童游乐设施应确保设施符合国家安全标准，无尖锐边缘、松动部件等安全隐患；定期进行安全检查，及时修复或更换损坏部件，保持设施清洁。</w:t>
      </w:r>
      <w:r>
        <w:rPr>
          <w:rStyle w:val="12"/>
          <w:rFonts w:hint="eastAsia" w:ascii="仿宋" w:hAnsi="仿宋" w:eastAsia="仿宋" w:cs="仿宋"/>
          <w:b w:val="0"/>
          <w:bCs w:val="0"/>
          <w:i w:val="0"/>
          <w:iCs w:val="0"/>
          <w:caps w:val="0"/>
          <w:color w:val="auto"/>
          <w:spacing w:val="0"/>
          <w:sz w:val="32"/>
          <w:szCs w:val="32"/>
          <w:shd w:val="clear" w:fill="FFFFFF"/>
        </w:rPr>
        <w:t>儿童娱乐沙坑应定期过筛、重铺、消毒等，保持洁净、无积水</w:t>
      </w:r>
      <w:r>
        <w:rPr>
          <w:rStyle w:val="12"/>
          <w:rFonts w:hint="eastAsia" w:ascii="仿宋" w:hAnsi="仿宋" w:eastAsia="仿宋" w:cs="仿宋"/>
          <w:b w:val="0"/>
          <w:bCs w:val="0"/>
          <w:i w:val="0"/>
          <w:iCs w:val="0"/>
          <w:caps w:val="0"/>
          <w:color w:val="auto"/>
          <w:spacing w:val="0"/>
          <w:sz w:val="32"/>
          <w:szCs w:val="32"/>
          <w:shd w:val="clear" w:fill="FFFFFF"/>
          <w:lang w:eastAsia="zh-CN"/>
        </w:rPr>
        <w:t>；</w:t>
      </w:r>
    </w:p>
    <w:p w14:paraId="29025AA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垃圾箱、灭烟柱应及时清洁，保持无污渍、无垃圾外溢</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rPr>
        <w:t>标识标牌应保持构件完整、整洁，标识信息清晰。</w:t>
      </w:r>
    </w:p>
    <w:p w14:paraId="3AF552A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eastAsia="zh-CN"/>
        </w:rPr>
      </w:pP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lang w:val="en-US" w:eastAsia="zh-CN"/>
        </w:rPr>
        <w:t>4</w:t>
      </w:r>
      <w:r>
        <w:rPr>
          <w:rStyle w:val="12"/>
          <w:rFonts w:hint="eastAsia" w:ascii="仿宋" w:hAnsi="仿宋" w:eastAsia="仿宋" w:cs="仿宋"/>
          <w:b w:val="0"/>
          <w:bCs w:val="0"/>
          <w:i w:val="0"/>
          <w:iCs w:val="0"/>
          <w:caps w:val="0"/>
          <w:color w:val="auto"/>
          <w:spacing w:val="0"/>
          <w:sz w:val="32"/>
          <w:szCs w:val="32"/>
          <w:shd w:val="clear" w:fill="FFFFFF"/>
          <w:lang w:eastAsia="zh-CN"/>
        </w:rPr>
        <w:t>）</w:t>
      </w:r>
      <w:r>
        <w:rPr>
          <w:rStyle w:val="12"/>
          <w:rFonts w:hint="eastAsia" w:ascii="仿宋" w:hAnsi="仿宋" w:eastAsia="仿宋" w:cs="仿宋"/>
          <w:b w:val="0"/>
          <w:bCs w:val="0"/>
          <w:i w:val="0"/>
          <w:iCs w:val="0"/>
          <w:caps w:val="0"/>
          <w:color w:val="auto"/>
          <w:spacing w:val="0"/>
          <w:sz w:val="32"/>
          <w:szCs w:val="32"/>
          <w:shd w:val="clear" w:fill="FFFFFF"/>
        </w:rPr>
        <w:t>花坛花箱、树池护栅、围墙护栏、挡土墙等附属</w:t>
      </w:r>
      <w:r>
        <w:rPr>
          <w:rStyle w:val="12"/>
          <w:rFonts w:hint="eastAsia" w:ascii="仿宋" w:hAnsi="仿宋" w:eastAsia="仿宋" w:cs="仿宋"/>
          <w:b w:val="0"/>
          <w:bCs w:val="0"/>
          <w:i w:val="0"/>
          <w:iCs w:val="0"/>
          <w:caps w:val="0"/>
          <w:color w:val="auto"/>
          <w:spacing w:val="0"/>
          <w:sz w:val="32"/>
          <w:szCs w:val="32"/>
          <w:shd w:val="clear" w:fill="FFFFFF"/>
          <w:lang w:val="en-US" w:eastAsia="zh-CN"/>
        </w:rPr>
        <w:t>设施</w:t>
      </w:r>
    </w:p>
    <w:p w14:paraId="71EF002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花坛花箱等容器小品应及时维修更换</w:t>
      </w:r>
      <w:r>
        <w:rPr>
          <w:rStyle w:val="12"/>
          <w:rFonts w:hint="eastAsia" w:ascii="仿宋" w:hAnsi="仿宋" w:eastAsia="仿宋" w:cs="仿宋"/>
          <w:b w:val="0"/>
          <w:bCs w:val="0"/>
          <w:i w:val="0"/>
          <w:iCs w:val="0"/>
          <w:caps w:val="0"/>
          <w:color w:val="auto"/>
          <w:spacing w:val="0"/>
          <w:sz w:val="32"/>
          <w:szCs w:val="32"/>
          <w:shd w:val="clear" w:fill="FFFFFF"/>
          <w:lang w:val="en-US" w:eastAsia="zh-CN"/>
        </w:rPr>
        <w:t>定期更换枯萎、病虫害植物，保持花箱内植物生长良好；定期清洁花箱，保持外观整洁，及时修复、更换破算花箱，</w:t>
      </w:r>
      <w:r>
        <w:rPr>
          <w:rStyle w:val="12"/>
          <w:rFonts w:hint="eastAsia" w:ascii="仿宋" w:hAnsi="仿宋" w:eastAsia="仿宋" w:cs="仿宋"/>
          <w:b w:val="0"/>
          <w:bCs w:val="0"/>
          <w:i w:val="0"/>
          <w:iCs w:val="0"/>
          <w:caps w:val="0"/>
          <w:color w:val="auto"/>
          <w:spacing w:val="0"/>
          <w:sz w:val="32"/>
          <w:szCs w:val="32"/>
          <w:shd w:val="clear" w:fill="FFFFFF"/>
        </w:rPr>
        <w:t>确保最佳观赏效果。</w:t>
      </w:r>
    </w:p>
    <w:p w14:paraId="5643468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树池篦子应保持完好无损，无松动、缺失现象；定期清理篦子内杂物，确保排水畅通，及时更换损坏的树池篦子。</w:t>
      </w:r>
    </w:p>
    <w:p w14:paraId="0CF549F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r>
        <w:rPr>
          <w:rStyle w:val="12"/>
          <w:rFonts w:hint="eastAsia" w:ascii="仿宋" w:hAnsi="仿宋" w:eastAsia="仿宋" w:cs="仿宋"/>
          <w:b w:val="0"/>
          <w:bCs w:val="0"/>
          <w:i w:val="0"/>
          <w:iCs w:val="0"/>
          <w:caps w:val="0"/>
          <w:color w:val="auto"/>
          <w:spacing w:val="0"/>
          <w:sz w:val="32"/>
          <w:szCs w:val="32"/>
          <w:shd w:val="clear" w:fill="FFFFFF"/>
        </w:rPr>
        <w:t>围墙护栏、挡土墙应定期检测维修，保持外观平整美观，结构稳固，无沉降、裂</w:t>
      </w:r>
      <w:bookmarkStart w:id="2" w:name="bookmark38"/>
      <w:bookmarkEnd w:id="2"/>
      <w:r>
        <w:rPr>
          <w:rStyle w:val="12"/>
          <w:rFonts w:hint="eastAsia" w:ascii="仿宋" w:hAnsi="仿宋" w:eastAsia="仿宋" w:cs="仿宋"/>
          <w:b w:val="0"/>
          <w:bCs w:val="0"/>
          <w:i w:val="0"/>
          <w:iCs w:val="0"/>
          <w:caps w:val="0"/>
          <w:color w:val="auto"/>
          <w:spacing w:val="0"/>
          <w:sz w:val="32"/>
          <w:szCs w:val="32"/>
          <w:shd w:val="clear" w:fill="FFFFFF"/>
        </w:rPr>
        <w:t>缝，金属构件无锈蚀、脱漆等。</w:t>
      </w:r>
    </w:p>
    <w:p w14:paraId="6E4D7D8D">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rPr>
      </w:pPr>
      <w:bookmarkStart w:id="3" w:name="bookmark37"/>
      <w:bookmarkEnd w:id="3"/>
      <w:r>
        <w:rPr>
          <w:rStyle w:val="12"/>
          <w:rFonts w:hint="eastAsia" w:ascii="仿宋" w:hAnsi="仿宋" w:eastAsia="仿宋" w:cs="仿宋"/>
          <w:b w:val="0"/>
          <w:bCs w:val="0"/>
          <w:i w:val="0"/>
          <w:iCs w:val="0"/>
          <w:caps w:val="0"/>
          <w:color w:val="auto"/>
          <w:spacing w:val="0"/>
          <w:sz w:val="32"/>
          <w:szCs w:val="32"/>
          <w:shd w:val="clear" w:fill="FFFFFF"/>
          <w:lang w:val="en-US" w:eastAsia="zh-CN"/>
        </w:rPr>
        <w:t>4、</w:t>
      </w:r>
      <w:r>
        <w:rPr>
          <w:rStyle w:val="12"/>
          <w:rFonts w:hint="eastAsia" w:ascii="仿宋" w:hAnsi="仿宋" w:eastAsia="仿宋" w:cs="仿宋"/>
          <w:b w:val="0"/>
          <w:bCs w:val="0"/>
          <w:i w:val="0"/>
          <w:iCs w:val="0"/>
          <w:caps w:val="0"/>
          <w:color w:val="auto"/>
          <w:spacing w:val="0"/>
          <w:sz w:val="32"/>
          <w:szCs w:val="32"/>
          <w:shd w:val="clear" w:fill="FFFFFF"/>
        </w:rPr>
        <w:t>管理服务类设施维护</w:t>
      </w:r>
    </w:p>
    <w:p w14:paraId="4A08BA4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（1）车辆停放设施</w:t>
      </w:r>
    </w:p>
    <w:p w14:paraId="56A9BF5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应保持场地平整清洁，设施设备完整、安全。 车位标识标线应醒目、清晰、规范。</w:t>
      </w:r>
    </w:p>
    <w:p w14:paraId="48EC830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（2）给水排水设施</w:t>
      </w:r>
    </w:p>
    <w:p w14:paraId="3D32A160">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乙方应进行日常检查，确保正常运转，保持管道畅通无污染，外露的给水排水设施应保持清洁、完整无损、安全稳固，冬季应采取防冻保护措施。防汛、消防等设施应保持完好，满足功能要求。</w:t>
      </w:r>
    </w:p>
    <w:p w14:paraId="14BA8C6A">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（3）供电照明设施</w:t>
      </w:r>
    </w:p>
    <w:p w14:paraId="64B175B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乙方应对供配电箱及各类管线设施定期检查，保持完整，及时维修，保持正常运转。照明灯具应定期清洁，保持亮度适宜。及时对损坏灯具、裸露电线进行处理，排除安全隐患。</w:t>
      </w:r>
    </w:p>
    <w:p w14:paraId="368385C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（4）公共广播及监控设施</w:t>
      </w:r>
    </w:p>
    <w:p w14:paraId="00A64AA3">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乙方应定期检查设施设备运转情况，保持正常播放，损坏及时修理。</w:t>
      </w:r>
    </w:p>
    <w:p w14:paraId="744328A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（5）应急避险设施</w:t>
      </w:r>
    </w:p>
    <w:p w14:paraId="63FAC005">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乙方对应急避险绿地的应急避险设施定期检查，保持设施齐全，维护到位。</w:t>
      </w:r>
    </w:p>
    <w:p w14:paraId="5B7A3CDD">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（6）无障碍设施</w:t>
      </w:r>
    </w:p>
    <w:p w14:paraId="7611732B">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360" w:lineRule="auto"/>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乙方应保持无障碍设施完整、通畅、稳固安全。</w:t>
      </w:r>
    </w:p>
    <w:p w14:paraId="70CBFC86">
      <w:pPr>
        <w:pStyle w:val="2"/>
        <w:numPr>
          <w:ilvl w:val="0"/>
          <w:numId w:val="3"/>
        </w:numPr>
        <w:spacing w:line="360" w:lineRule="auto"/>
        <w:ind w:firstLine="640" w:firstLineChars="200"/>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窨井盖、电箱等设施</w:t>
      </w:r>
    </w:p>
    <w:p w14:paraId="01C43AA8">
      <w:pPr>
        <w:pStyle w:val="2"/>
        <w:numPr>
          <w:ilvl w:val="0"/>
          <w:numId w:val="0"/>
        </w:numPr>
        <w:spacing w:line="360" w:lineRule="auto"/>
        <w:ind w:firstLine="640" w:firstLineChars="200"/>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对绿地、绿化带内的窨井盖、电箱等设施定期进行巡查检查，消除各类安全隐患。对存在安全隐患的设施，有明确产权单位的，乙方有义务积极联系产权单位排除安全隐患，无明确产权单位的，乙方需自行排除安全隐患。如因乙方巡查管理不到位造成第三方人身、财产损失的，由乙方独自承担一切法律责任。</w:t>
      </w:r>
    </w:p>
    <w:p w14:paraId="59F30275">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color w:val="auto"/>
          <w:sz w:val="32"/>
          <w:szCs w:val="32"/>
          <w:lang w:val="en-US" w:eastAsia="zh-CN"/>
        </w:rPr>
      </w:pPr>
      <w:bookmarkStart w:id="4" w:name="bookmark40"/>
      <w:bookmarkEnd w:id="4"/>
      <w:bookmarkStart w:id="5" w:name="bookmark39"/>
      <w:bookmarkEnd w:id="5"/>
      <w:r>
        <w:rPr>
          <w:rFonts w:hint="eastAsia" w:ascii="仿宋" w:hAnsi="仿宋" w:eastAsia="仿宋" w:cs="仿宋"/>
          <w:b/>
          <w:color w:val="auto"/>
          <w:sz w:val="32"/>
          <w:szCs w:val="32"/>
          <w:lang w:val="en-US" w:eastAsia="zh-CN"/>
        </w:rPr>
        <w:t>第十一条  绿地管理工作要求</w:t>
      </w:r>
    </w:p>
    <w:p w14:paraId="105E7B55">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bookmarkStart w:id="6" w:name="bookmark43"/>
      <w:bookmarkEnd w:id="6"/>
      <w:bookmarkStart w:id="7" w:name="bookmark44"/>
      <w:bookmarkEnd w:id="7"/>
      <w:bookmarkStart w:id="8" w:name="bookmark42"/>
      <w:bookmarkEnd w:id="8"/>
      <w:bookmarkStart w:id="9" w:name="bookmark41"/>
      <w:bookmarkEnd w:id="9"/>
      <w:r>
        <w:rPr>
          <w:rStyle w:val="12"/>
          <w:rFonts w:hint="eastAsia" w:ascii="仿宋" w:hAnsi="仿宋" w:eastAsia="仿宋" w:cs="仿宋"/>
          <w:b w:val="0"/>
          <w:bCs w:val="0"/>
          <w:i w:val="0"/>
          <w:iCs w:val="0"/>
          <w:caps w:val="0"/>
          <w:color w:val="auto"/>
          <w:spacing w:val="0"/>
          <w:sz w:val="32"/>
          <w:szCs w:val="32"/>
          <w:shd w:val="clear" w:fill="FFFFFF"/>
          <w:lang w:val="en-US" w:eastAsia="zh-CN"/>
        </w:rPr>
        <w:t>1、绿地保洁</w:t>
      </w:r>
    </w:p>
    <w:p w14:paraId="2A4DA66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保洁标准：绿地应保持整洁，乙方应定期进行清理，及时清除植物上的附着物（如鸟粪、尘土等）、绿地内的干枯枝叶、各类废弃物、杂草等，确保绿地环境的美观与卫生。作业过程中应采取有效措施避免产生扬尘，防止对地面造成二次污染。保洁用具应在作业结束后及时收纳，不得随意放置于绿地内。</w:t>
      </w:r>
    </w:p>
    <w:p w14:paraId="0A28ADD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（2）园路及广场保洁：乙方应按照DB 6101/T 3057标准第7.1.3条款的规定，对绿地内的园路、广场进行清理保洁，确保其清洁、无杂物，符合相关卫生及美观标准。</w:t>
      </w:r>
    </w:p>
    <w:p w14:paraId="0D9CFED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（3）降雪天气保洁：在降雪天气条件下，乙方应按照DB6101/T 3057标准第8.1.1和8.1.2条款的要求，及时进行绿地的除雪、防滑处理，确保绿地及园路、广场的安全通行条件。</w:t>
      </w:r>
    </w:p>
    <w:p w14:paraId="05A9C669">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（4）垃圾清运：乙方应确保绿地内产生的各类垃圾得到及时清理，并按照《西安市生活垃圾分类管理办法》的相关规定进行分类、收集、运输和处置，不得随意堆放或遗弃。</w:t>
      </w:r>
    </w:p>
    <w:p w14:paraId="7D0D88D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2、资料档案管理</w:t>
      </w:r>
    </w:p>
    <w:p w14:paraId="029FC5CC">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乙方应建立健全绿地养护管理工作的资料档案，内容应包括但不限于：</w:t>
      </w:r>
    </w:p>
    <w:p w14:paraId="4415BFE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（1）工作内容汇总：详细记录日常保洁、绿化养护、设施维护等各项工作的执行情况，包括工作时间、地点、内容、人员、效果等信息。</w:t>
      </w:r>
    </w:p>
    <w:p w14:paraId="71AB9E32">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（2）投诉回复处理：协助甲方处理养护范围内的投诉回复工作。</w:t>
      </w:r>
    </w:p>
    <w:p w14:paraId="59CCFCB3">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（3）安全隐患排查工作汇报：定期进行绿地安全隐患排查，形成书面报告，详细记录发现的安全隐患、已采取的整改措施、整改效果及后续跟踪情况。</w:t>
      </w:r>
    </w:p>
    <w:p w14:paraId="02776986">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（4）应急处置情况汇报：在遭遇自然灾害、设施损坏、突发事件等情况下，应及时进行应急处置，并形成书面报告，记录事件概况、处置过程、处置结果、经验教训等。</w:t>
      </w:r>
    </w:p>
    <w:p w14:paraId="1FA0ADEB">
      <w:pPr>
        <w:keepNext w:val="0"/>
        <w:keepLines w:val="0"/>
        <w:pageBreakBefore w:val="0"/>
        <w:widowControl/>
        <w:numPr>
          <w:ilvl w:val="0"/>
          <w:numId w:val="0"/>
        </w:numPr>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Style w:val="12"/>
          <w:rFonts w:hint="eastAsia" w:ascii="仿宋" w:hAnsi="仿宋" w:eastAsia="仿宋" w:cs="仿宋"/>
          <w:b w:val="0"/>
          <w:bCs w:val="0"/>
          <w:i w:val="0"/>
          <w:iCs w:val="0"/>
          <w:caps w:val="0"/>
          <w:color w:val="auto"/>
          <w:spacing w:val="0"/>
          <w:sz w:val="32"/>
          <w:szCs w:val="32"/>
          <w:shd w:val="clear" w:fill="FFFFFF"/>
          <w:lang w:val="en-US" w:eastAsia="zh-CN"/>
        </w:rPr>
        <w:t>（5）乙方应有专人负责档案资料的整理、汇总、上报，不按照甲方要求上报资料或迟报、漏报、错报的考核时进行扣分，并扣除相应比例的养护费，具体见《</w:t>
      </w:r>
      <w:r>
        <w:rPr>
          <w:rFonts w:hint="eastAsia" w:ascii="仿宋" w:hAnsi="仿宋" w:eastAsia="仿宋" w:cs="仿宋"/>
          <w:color w:val="auto"/>
          <w:sz w:val="32"/>
          <w:szCs w:val="32"/>
          <w:lang w:val="en-US" w:eastAsia="zh-CN"/>
        </w:rPr>
        <w:t>雁塔区园林</w:t>
      </w:r>
      <w:r>
        <w:rPr>
          <w:rFonts w:hint="eastAsia" w:ascii="仿宋" w:hAnsi="仿宋" w:eastAsia="仿宋" w:cs="仿宋"/>
          <w:color w:val="auto"/>
          <w:sz w:val="32"/>
          <w:szCs w:val="32"/>
        </w:rPr>
        <w:t>绿化养护</w:t>
      </w:r>
      <w:r>
        <w:rPr>
          <w:rFonts w:hint="eastAsia" w:ascii="仿宋" w:hAnsi="仿宋" w:eastAsia="仿宋" w:cs="仿宋"/>
          <w:color w:val="auto"/>
          <w:sz w:val="32"/>
          <w:szCs w:val="32"/>
          <w:lang w:val="en-US" w:eastAsia="zh-CN"/>
        </w:rPr>
        <w:t>管理月</w:t>
      </w:r>
      <w:r>
        <w:rPr>
          <w:rFonts w:hint="eastAsia" w:ascii="仿宋" w:hAnsi="仿宋" w:eastAsia="仿宋" w:cs="仿宋"/>
          <w:color w:val="auto"/>
          <w:sz w:val="32"/>
          <w:szCs w:val="32"/>
        </w:rPr>
        <w:t>评分表</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3BB690F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3、秩序保障</w:t>
      </w:r>
    </w:p>
    <w:p w14:paraId="5FD55351">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乙方应定期对绿地进行巡查，及时发现并纠正各类违反绿地管理规定的行为，维护良好的绿地秩序。具体包括：</w:t>
      </w:r>
    </w:p>
    <w:p w14:paraId="2A4076C8">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（1）配合限犬管理：对进入绿地的犬只进行有效管理，确保犬只主人遵守相关养犬规定，如牵绳、清理粪便等，对违规行为进行劝导或上报相关部门。</w:t>
      </w:r>
    </w:p>
    <w:p w14:paraId="65451CF4">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（2）禁烟管理：严格执行绿地内禁烟规定，对吸烟行为进行劝阻，确保绿地内无烟蒂等烟制品废弃物。</w:t>
      </w:r>
    </w:p>
    <w:p w14:paraId="3E36282F">
      <w:pPr>
        <w:keepNext w:val="0"/>
        <w:keepLines w:val="0"/>
        <w:pageBreakBefore w:val="0"/>
        <w:widowControl/>
        <w:numPr>
          <w:ilvl w:val="0"/>
          <w:numId w:val="0"/>
        </w:numPr>
        <w:suppressLineNumbers w:val="0"/>
        <w:kinsoku/>
        <w:wordWrap w:val="0"/>
        <w:overflowPunct/>
        <w:topLinePunct w:val="0"/>
        <w:autoSpaceDE/>
        <w:autoSpaceDN/>
        <w:bidi w:val="0"/>
        <w:spacing w:before="53" w:beforeAutospacing="0" w:after="0" w:afterAutospacing="0" w:line="560" w:lineRule="exact"/>
        <w:ind w:right="0" w:rightChars="0"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Style w:val="12"/>
          <w:rFonts w:hint="eastAsia" w:ascii="仿宋" w:hAnsi="仿宋" w:eastAsia="仿宋" w:cs="仿宋"/>
          <w:b w:val="0"/>
          <w:bCs w:val="0"/>
          <w:i w:val="0"/>
          <w:iCs w:val="0"/>
          <w:caps w:val="0"/>
          <w:color w:val="auto"/>
          <w:spacing w:val="0"/>
          <w:sz w:val="32"/>
          <w:szCs w:val="32"/>
          <w:shd w:val="clear" w:fill="FFFFFF"/>
          <w:lang w:val="en-US" w:eastAsia="zh-CN"/>
        </w:rPr>
        <w:t>（3）禁止非法聚集：对在绿地内进行的非法集会、摆摊设点、乱贴乱画等行为进行制止，必要时配合相关部门进行处理。</w:t>
      </w:r>
    </w:p>
    <w:p w14:paraId="4181C6D2">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lang w:val="en-US" w:eastAsia="zh-CN"/>
        </w:rPr>
        <w:t>第十二条  苗木检疫与病虫害防治工作要求</w:t>
      </w:r>
    </w:p>
    <w:p w14:paraId="6BE56A9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1、苗木使用：乙方在项目履行期间使用的苗木必须按规定进行检疫，严禁使用未经检疫苗木。</w:t>
      </w:r>
    </w:p>
    <w:p w14:paraId="75EE091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2、病虫害监测与防治：乙方应严密监测松材线虫、美国白蛾等危害性大、爆发性强的病虫害，一旦发现应立即上报并采取有效措施进行防治。</w:t>
      </w:r>
    </w:p>
    <w:p w14:paraId="522274C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3、违约责任：</w:t>
      </w:r>
    </w:p>
    <w:p w14:paraId="5BA95FB7">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（1）因乙方使用未经检疫苗木或防治不力导致发生松材线虫、美国白蛾疫情或致使疫情蔓延的，甲方有权立即终止合同，扣除全部养护费，乙方需赔偿甲方因防治疫情所产生的一切损失。</w:t>
      </w:r>
    </w:p>
    <w:p w14:paraId="725150A7">
      <w:pPr>
        <w:keepNext w:val="0"/>
        <w:keepLines w:val="0"/>
        <w:pageBreakBefore w:val="0"/>
        <w:widowControl/>
        <w:numPr>
          <w:ilvl w:val="0"/>
          <w:numId w:val="0"/>
        </w:numPr>
        <w:kinsoku/>
        <w:overflowPunct/>
        <w:topLinePunct w:val="0"/>
        <w:autoSpaceDE/>
        <w:autoSpaceDN/>
        <w:bidi w:val="0"/>
        <w:adjustRightInd w:val="0"/>
        <w:snapToGrid w:val="0"/>
        <w:spacing w:line="560" w:lineRule="exact"/>
        <w:ind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Fonts w:hint="eastAsia" w:ascii="仿宋" w:hAnsi="仿宋" w:eastAsia="仿宋" w:cs="仿宋"/>
          <w:color w:val="auto"/>
          <w:sz w:val="32"/>
          <w:szCs w:val="32"/>
          <w:lang w:val="en-US" w:eastAsia="zh-CN"/>
        </w:rPr>
        <w:t>（2）因乙方防治病虫害不力，导致病虫害大面积爆发，造成苗木长势衰弱或死亡的，甲方有权要求乙方更换、补植同品种、同规格苗木，相关费用由乙方全部承担。若因此引发群众大量投诉，按比例扣除相应养护费用，具体见</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r>
        <w:rPr>
          <w:rFonts w:hint="eastAsia" w:ascii="仿宋" w:hAnsi="仿宋" w:eastAsia="仿宋" w:cs="仿宋"/>
          <w:color w:val="auto"/>
          <w:sz w:val="32"/>
          <w:szCs w:val="32"/>
          <w:lang w:val="en-US" w:eastAsia="zh-CN"/>
        </w:rPr>
        <w:t>雁塔区园林</w:t>
      </w:r>
      <w:r>
        <w:rPr>
          <w:rFonts w:hint="eastAsia" w:ascii="仿宋" w:hAnsi="仿宋" w:eastAsia="仿宋" w:cs="仿宋"/>
          <w:color w:val="auto"/>
          <w:sz w:val="32"/>
          <w:szCs w:val="32"/>
        </w:rPr>
        <w:t>绿化养护</w:t>
      </w:r>
      <w:r>
        <w:rPr>
          <w:rFonts w:hint="eastAsia" w:ascii="仿宋" w:hAnsi="仿宋" w:eastAsia="仿宋" w:cs="仿宋"/>
          <w:color w:val="auto"/>
          <w:sz w:val="32"/>
          <w:szCs w:val="32"/>
          <w:lang w:val="en-US" w:eastAsia="zh-CN"/>
        </w:rPr>
        <w:t>管理月</w:t>
      </w:r>
      <w:r>
        <w:rPr>
          <w:rFonts w:hint="eastAsia" w:ascii="仿宋" w:hAnsi="仿宋" w:eastAsia="仿宋" w:cs="仿宋"/>
          <w:color w:val="auto"/>
          <w:sz w:val="32"/>
          <w:szCs w:val="32"/>
        </w:rPr>
        <w:t>评分表</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39E36BB2">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color w:val="auto"/>
          <w:sz w:val="32"/>
          <w:szCs w:val="32"/>
          <w:lang w:val="en-US" w:eastAsia="zh-CN"/>
        </w:rPr>
      </w:pPr>
      <w:r>
        <w:rPr>
          <w:rFonts w:hint="eastAsia" w:ascii="仿宋" w:hAnsi="仿宋" w:eastAsia="仿宋" w:cs="仿宋"/>
          <w:b/>
          <w:bCs w:val="0"/>
          <w:color w:val="auto"/>
          <w:sz w:val="32"/>
          <w:szCs w:val="32"/>
          <w:lang w:val="en-US" w:eastAsia="zh-CN"/>
        </w:rPr>
        <w:t>第十三条  重大活动期间、集中整治活动期间工作要求</w:t>
      </w:r>
    </w:p>
    <w:p w14:paraId="5CC6C431">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乙方应在重大活动期间、集中整治活动期间服从甲方工作安排，按时、保质完成相关工作任务。</w:t>
      </w:r>
    </w:p>
    <w:p w14:paraId="5D8A9E0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Style w:val="12"/>
          <w:rFonts w:hint="eastAsia" w:ascii="仿宋" w:hAnsi="仿宋" w:eastAsia="仿宋" w:cs="仿宋"/>
          <w:b w:val="0"/>
          <w:bCs w:val="0"/>
          <w:i w:val="0"/>
          <w:iCs w:val="0"/>
          <w:caps w:val="0"/>
          <w:color w:val="auto"/>
          <w:spacing w:val="0"/>
          <w:sz w:val="32"/>
          <w:szCs w:val="32"/>
          <w:shd w:val="clear" w:fill="FFFFFF"/>
          <w:lang w:val="en-US" w:eastAsia="zh-CN"/>
        </w:rPr>
      </w:pPr>
      <w:r>
        <w:rPr>
          <w:rFonts w:hint="eastAsia" w:ascii="仿宋" w:hAnsi="仿宋" w:eastAsia="仿宋" w:cs="仿宋"/>
          <w:color w:val="auto"/>
          <w:sz w:val="32"/>
          <w:szCs w:val="32"/>
          <w:lang w:val="en-US" w:eastAsia="zh-CN"/>
        </w:rPr>
        <w:t>因乙方原因延误相关工作，或工作未达标准导致甲方被媒体曝光、被上级部门通报，甲方有权扣除10000元/次作为违约金。</w:t>
      </w:r>
      <w:r>
        <w:rPr>
          <w:rStyle w:val="12"/>
          <w:rFonts w:hint="eastAsia" w:ascii="仿宋" w:hAnsi="仿宋" w:eastAsia="仿宋" w:cs="仿宋"/>
          <w:b w:val="0"/>
          <w:bCs w:val="0"/>
          <w:i w:val="0"/>
          <w:iCs w:val="0"/>
          <w:caps w:val="0"/>
          <w:color w:val="auto"/>
          <w:spacing w:val="0"/>
          <w:sz w:val="32"/>
          <w:szCs w:val="32"/>
          <w:shd w:val="clear" w:fill="FFFFFF"/>
          <w:lang w:val="en-US" w:eastAsia="zh-CN"/>
        </w:rPr>
        <w:t>并在当月的考评中扣除相应的分数。</w:t>
      </w:r>
    </w:p>
    <w:p w14:paraId="133BA95E">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color w:val="auto"/>
          <w:sz w:val="32"/>
          <w:szCs w:val="32"/>
          <w:lang w:val="en-US" w:eastAsia="zh-CN"/>
        </w:rPr>
      </w:pPr>
      <w:r>
        <w:rPr>
          <w:rFonts w:hint="eastAsia" w:ascii="仿宋" w:hAnsi="仿宋" w:eastAsia="仿宋" w:cs="仿宋"/>
          <w:b/>
          <w:bCs w:val="0"/>
          <w:color w:val="auto"/>
          <w:sz w:val="32"/>
          <w:szCs w:val="32"/>
          <w:lang w:val="en-US" w:eastAsia="zh-CN"/>
        </w:rPr>
        <w:t xml:space="preserve"> 第十四条 预留金使用要求</w:t>
      </w:r>
    </w:p>
    <w:p w14:paraId="64B007DC">
      <w:pPr>
        <w:pStyle w:val="2"/>
        <w:rPr>
          <w:rFonts w:hint="eastAsia" w:ascii="仿宋" w:hAnsi="仿宋" w:eastAsia="仿宋" w:cs="仿宋"/>
          <w:color w:val="auto"/>
          <w:sz w:val="32"/>
          <w:szCs w:val="32"/>
          <w:lang w:val="en-US" w:eastAsia="zh-CN"/>
        </w:rPr>
      </w:pPr>
      <w:r>
        <w:rPr>
          <w:rStyle w:val="12"/>
          <w:rFonts w:hint="eastAsia" w:ascii="仿宋" w:hAnsi="仿宋" w:eastAsia="仿宋" w:cs="仿宋"/>
          <w:b w:val="0"/>
          <w:bCs w:val="0"/>
          <w:i w:val="0"/>
          <w:iCs w:val="0"/>
          <w:caps w:val="0"/>
          <w:color w:val="FF0000"/>
          <w:spacing w:val="0"/>
          <w:sz w:val="32"/>
          <w:szCs w:val="32"/>
          <w:shd w:val="clear" w:fill="FFFFFF"/>
          <w:lang w:val="en-US" w:eastAsia="zh-CN"/>
        </w:rPr>
        <w:t xml:space="preserve">    </w:t>
      </w:r>
      <w:r>
        <w:rPr>
          <w:rFonts w:hint="eastAsia" w:ascii="仿宋" w:hAnsi="仿宋" w:eastAsia="仿宋" w:cs="仿宋"/>
          <w:color w:val="auto"/>
          <w:sz w:val="32"/>
          <w:szCs w:val="32"/>
          <w:lang w:val="en-US" w:eastAsia="zh-CN"/>
        </w:rPr>
        <w:t>1、使用申请与审批</w:t>
      </w:r>
    </w:p>
    <w:p w14:paraId="354716E1">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（1）申请前提：乙方在计划实施涉及使用项目预留金的施工活动时，必须严格遵循甲方的管理要求，未经许可不得擅自启动相关工作。</w:t>
      </w:r>
    </w:p>
    <w:p w14:paraId="01BE81D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申请内容：乙方应提前向甲方提交详细的使用申请，明确阐述使用原因，详细列出所需各项材料的清单，包括但不限于品名、规格、数量、单价及总价。对于预留金的使用，还应详细描述维护内容、预计工作量、所需专业服务（如涉及）及其费用明细。</w:t>
      </w:r>
    </w:p>
    <w:p w14:paraId="71DAD201">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（3）审批流程：上述申请须经甲方及监理单位共同审核，确认其合理性、必要性及预算的准确性。审核通过后，甲方与监理单位应申请文件上签字确认，授权乙方按照批准的方案进行施工。</w:t>
      </w:r>
    </w:p>
    <w:p w14:paraId="22C04B5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2、项目实施与监管</w:t>
      </w:r>
    </w:p>
    <w:p w14:paraId="1CA069B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（1）合规施工：获得甲方及监理单位批准后，乙方应严格按照申请内容进行施工，确保预留金的合理、有效使用，不得擅自变更施工内容、扩大支出范围或超出预算。</w:t>
      </w:r>
    </w:p>
    <w:p w14:paraId="0EE42DB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进度与质量监控：乙方应定期向甲方及监理单位报告施工进度、资金使用情况及工程质量状况，接受其监督与指导。如遇施工方案调整或预算变更，乙方应立即提交书面申请，经甲方及监理单位重新审批后方可执行。</w:t>
      </w:r>
    </w:p>
    <w:p w14:paraId="1053352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3、竣工验收与结算</w:t>
      </w:r>
    </w:p>
    <w:p w14:paraId="5C556EF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（1）验收申请：项目施工完毕后，乙方应及时提交竣工验收申请，附带详细的施工总结报告、实际支出明细、对比原申请的变更说明（如有），以及必要的技术资料（如检测报告、竣工图纸等）。</w:t>
      </w:r>
    </w:p>
    <w:p w14:paraId="6DAF176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（2）验收程序：甲方与监理单位将共同对项目进行现场验收，核实施工内容是否与批准的申请相符，工程质量是否达到合同约定标准。验收合格后，双方应在验收报告上签字确认。</w:t>
      </w:r>
    </w:p>
    <w:p w14:paraId="37CD354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（3）款项支付：经甲方与监理单位联合验收合格并签字确认后，乙方按照合同约定提交完整的结算资料，甲方在约定时间内支付相应的预留金款项。</w:t>
      </w:r>
    </w:p>
    <w:p w14:paraId="160259B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4、违约责任</w:t>
      </w:r>
    </w:p>
    <w:p w14:paraId="3B0944B5">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如乙方未经甲方及监理单位批准，擅自使用预留金进行相关施工，由此产生的所有费用及可能导致的损失，由乙方自行承担。甲方对此类未经审批的支出不予认可，有权拒绝支付相关款项，并保留进一步追究乙方违约责任的权利，包括但不限于要求乙方赔偿损失、解除合同等。</w:t>
      </w:r>
    </w:p>
    <w:p w14:paraId="082EEDB7">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color w:val="auto"/>
          <w:sz w:val="32"/>
          <w:szCs w:val="32"/>
        </w:rPr>
      </w:pPr>
      <w:r>
        <w:rPr>
          <w:rFonts w:hint="eastAsia" w:ascii="仿宋" w:hAnsi="仿宋" w:eastAsia="仿宋" w:cs="仿宋"/>
          <w:b/>
          <w:bCs w:val="0"/>
          <w:color w:val="auto"/>
          <w:sz w:val="32"/>
          <w:szCs w:val="32"/>
        </w:rPr>
        <w:t>第</w:t>
      </w:r>
      <w:r>
        <w:rPr>
          <w:rFonts w:hint="eastAsia" w:ascii="仿宋" w:hAnsi="仿宋" w:eastAsia="仿宋" w:cs="仿宋"/>
          <w:b/>
          <w:bCs w:val="0"/>
          <w:color w:val="auto"/>
          <w:sz w:val="32"/>
          <w:szCs w:val="32"/>
          <w:lang w:val="en-US" w:eastAsia="zh-CN"/>
        </w:rPr>
        <w:t>十五</w:t>
      </w:r>
      <w:r>
        <w:rPr>
          <w:rFonts w:hint="eastAsia" w:ascii="仿宋" w:hAnsi="仿宋" w:eastAsia="仿宋" w:cs="仿宋"/>
          <w:b/>
          <w:bCs w:val="0"/>
          <w:color w:val="auto"/>
          <w:sz w:val="32"/>
          <w:szCs w:val="32"/>
        </w:rPr>
        <w:t xml:space="preserve">条 </w:t>
      </w:r>
      <w:r>
        <w:rPr>
          <w:rFonts w:hint="eastAsia" w:ascii="仿宋" w:hAnsi="仿宋" w:eastAsia="仿宋" w:cs="仿宋"/>
          <w:b/>
          <w:bCs w:val="0"/>
          <w:color w:val="auto"/>
          <w:sz w:val="32"/>
          <w:szCs w:val="32"/>
          <w:lang w:val="en-US" w:eastAsia="zh-CN"/>
        </w:rPr>
        <w:t xml:space="preserve"> </w:t>
      </w:r>
      <w:r>
        <w:rPr>
          <w:rFonts w:hint="eastAsia" w:ascii="仿宋" w:hAnsi="仿宋" w:eastAsia="仿宋" w:cs="仿宋"/>
          <w:b/>
          <w:bCs w:val="0"/>
          <w:color w:val="auto"/>
          <w:sz w:val="32"/>
          <w:szCs w:val="32"/>
        </w:rPr>
        <w:t>检查与考核</w:t>
      </w:r>
    </w:p>
    <w:p w14:paraId="622C8485">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乙方应认真按照</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规范</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标准、本合同的要求以及甲方代表人依据本合同发出的指令进行养护，随时接受甲方的检查和考核，为检查、考核提供便利条件。具体</w:t>
      </w:r>
      <w:r>
        <w:rPr>
          <w:rFonts w:hint="eastAsia" w:ascii="仿宋" w:hAnsi="仿宋" w:eastAsia="仿宋" w:cs="仿宋"/>
          <w:color w:val="auto"/>
          <w:sz w:val="32"/>
          <w:szCs w:val="32"/>
          <w:lang w:val="en-US" w:eastAsia="zh-CN"/>
        </w:rPr>
        <w:t>规定</w:t>
      </w:r>
      <w:r>
        <w:rPr>
          <w:rFonts w:hint="eastAsia" w:ascii="仿宋" w:hAnsi="仿宋" w:eastAsia="仿宋" w:cs="仿宋"/>
          <w:color w:val="auto"/>
          <w:sz w:val="32"/>
          <w:szCs w:val="32"/>
        </w:rPr>
        <w:t>如下：</w:t>
      </w:r>
    </w:p>
    <w:p w14:paraId="19B471B9">
      <w:pPr>
        <w:keepNext w:val="0"/>
        <w:keepLines w:val="0"/>
        <w:pageBreakBefore w:val="0"/>
        <w:widowControl/>
        <w:numPr>
          <w:ilvl w:val="0"/>
          <w:numId w:val="0"/>
        </w:numPr>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1、日常养护检查：甲方与监理在日常检查中如发现乙方养护工作存在问题，通知乙方并下发整改通知单，明确整改要求及完成期限。乙方应严格按照整改通知单要求，在规定期限内完成整改工作，未按规定时限完成整改或整改不到位，按照相应比例扣除养护费，具体见</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r>
        <w:rPr>
          <w:rFonts w:hint="eastAsia" w:ascii="仿宋" w:hAnsi="仿宋" w:eastAsia="仿宋" w:cs="仿宋"/>
          <w:color w:val="auto"/>
          <w:sz w:val="32"/>
          <w:szCs w:val="32"/>
          <w:lang w:val="en-US" w:eastAsia="zh-CN"/>
        </w:rPr>
        <w:t>雁塔区园林</w:t>
      </w:r>
      <w:r>
        <w:rPr>
          <w:rFonts w:hint="eastAsia" w:ascii="仿宋" w:hAnsi="仿宋" w:eastAsia="仿宋" w:cs="仿宋"/>
          <w:color w:val="auto"/>
          <w:sz w:val="32"/>
          <w:szCs w:val="32"/>
        </w:rPr>
        <w:t>绿化养护</w:t>
      </w:r>
      <w:r>
        <w:rPr>
          <w:rFonts w:hint="eastAsia" w:ascii="仿宋" w:hAnsi="仿宋" w:eastAsia="仿宋" w:cs="仿宋"/>
          <w:color w:val="auto"/>
          <w:sz w:val="32"/>
          <w:szCs w:val="32"/>
          <w:lang w:val="en-US" w:eastAsia="zh-CN"/>
        </w:rPr>
        <w:t>管理月</w:t>
      </w:r>
      <w:r>
        <w:rPr>
          <w:rFonts w:hint="eastAsia" w:ascii="仿宋" w:hAnsi="仿宋" w:eastAsia="仿宋" w:cs="仿宋"/>
          <w:color w:val="auto"/>
          <w:sz w:val="32"/>
          <w:szCs w:val="32"/>
        </w:rPr>
        <w:t>评分表</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393A51F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2、周检查：每周由绿化养护质量监督检查组（由甲方与监理代表共同组成）对乙方整改情况进行复查。对于未按期完成整改的项目，检查组将予以扣分处理，具体见</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r>
        <w:rPr>
          <w:rFonts w:hint="eastAsia" w:ascii="仿宋" w:hAnsi="仿宋" w:eastAsia="仿宋" w:cs="仿宋"/>
          <w:color w:val="auto"/>
          <w:sz w:val="32"/>
          <w:szCs w:val="32"/>
          <w:lang w:val="en-US" w:eastAsia="zh-CN"/>
        </w:rPr>
        <w:t>雁塔区园林</w:t>
      </w:r>
      <w:r>
        <w:rPr>
          <w:rFonts w:hint="eastAsia" w:ascii="仿宋" w:hAnsi="仿宋" w:eastAsia="仿宋" w:cs="仿宋"/>
          <w:color w:val="auto"/>
          <w:sz w:val="32"/>
          <w:szCs w:val="32"/>
        </w:rPr>
        <w:t>绿化养护</w:t>
      </w:r>
      <w:r>
        <w:rPr>
          <w:rFonts w:hint="eastAsia" w:ascii="仿宋" w:hAnsi="仿宋" w:eastAsia="仿宋" w:cs="仿宋"/>
          <w:color w:val="auto"/>
          <w:sz w:val="32"/>
          <w:szCs w:val="32"/>
          <w:lang w:val="en-US" w:eastAsia="zh-CN"/>
        </w:rPr>
        <w:t>管理月</w:t>
      </w:r>
      <w:r>
        <w:rPr>
          <w:rFonts w:hint="eastAsia" w:ascii="仿宋" w:hAnsi="仿宋" w:eastAsia="仿宋" w:cs="仿宋"/>
          <w:color w:val="auto"/>
          <w:sz w:val="32"/>
          <w:szCs w:val="32"/>
        </w:rPr>
        <w:t>评分表</w:t>
      </w:r>
      <w:r>
        <w:rPr>
          <w:rStyle w:val="12"/>
          <w:rFonts w:hint="eastAsia" w:ascii="仿宋" w:hAnsi="仿宋" w:eastAsia="仿宋" w:cs="仿宋"/>
          <w:b w:val="0"/>
          <w:bCs w:val="0"/>
          <w:i w:val="0"/>
          <w:iCs w:val="0"/>
          <w:caps w:val="0"/>
          <w:color w:val="auto"/>
          <w:spacing w:val="0"/>
          <w:sz w:val="32"/>
          <w:szCs w:val="32"/>
          <w:shd w:val="clear" w:fill="FFFFFF"/>
          <w:lang w:val="en-US" w:eastAsia="zh-CN"/>
        </w:rPr>
        <w:t>》。</w:t>
      </w:r>
    </w:p>
    <w:p w14:paraId="7C188B1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3、月度检查：每月最后一周，检查组将按照《规范》及附件3的月度检查表，对乙方养护工作进行全面检查与评分。</w:t>
      </w:r>
    </w:p>
    <w:p w14:paraId="0CD1954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4、不定期检查与扣费：</w:t>
      </w:r>
    </w:p>
    <w:p w14:paraId="3E5A39B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甲方有权在项目履行期间不定期、不定时检查乙方养护工作。如发现乙方管护人员不足，甲方有权按每人次300元标准扣除养护费，</w:t>
      </w:r>
      <w:r>
        <w:rPr>
          <w:rStyle w:val="12"/>
          <w:rFonts w:hint="eastAsia" w:ascii="仿宋" w:hAnsi="仿宋" w:eastAsia="仿宋" w:cs="仿宋"/>
          <w:b w:val="0"/>
          <w:bCs w:val="0"/>
          <w:i w:val="0"/>
          <w:iCs w:val="0"/>
          <w:caps w:val="0"/>
          <w:color w:val="auto"/>
          <w:spacing w:val="0"/>
          <w:sz w:val="32"/>
          <w:szCs w:val="32"/>
          <w:shd w:val="clear" w:fill="FFFFFF"/>
          <w:lang w:val="en-US" w:eastAsia="zh-CN"/>
        </w:rPr>
        <w:t>并在当月的考评中扣除相应的分数。</w:t>
      </w:r>
      <w:r>
        <w:rPr>
          <w:rFonts w:hint="eastAsia" w:ascii="仿宋" w:hAnsi="仿宋" w:eastAsia="仿宋" w:cs="仿宋"/>
          <w:color w:val="auto"/>
          <w:sz w:val="32"/>
          <w:szCs w:val="32"/>
          <w:lang w:val="en-US" w:eastAsia="zh-CN"/>
        </w:rPr>
        <w:t>一个月内，乙方主要人员（项目总负责人、技术负责人、绿化养护人员等）连续3次不在岗，甲方有权扣除2000元/次，</w:t>
      </w:r>
      <w:r>
        <w:rPr>
          <w:rStyle w:val="12"/>
          <w:rFonts w:hint="eastAsia" w:ascii="仿宋" w:hAnsi="仿宋" w:eastAsia="仿宋" w:cs="仿宋"/>
          <w:b w:val="0"/>
          <w:bCs w:val="0"/>
          <w:i w:val="0"/>
          <w:iCs w:val="0"/>
          <w:caps w:val="0"/>
          <w:color w:val="auto"/>
          <w:spacing w:val="0"/>
          <w:sz w:val="32"/>
          <w:szCs w:val="32"/>
          <w:shd w:val="clear" w:fill="FFFFFF"/>
          <w:lang w:val="en-US" w:eastAsia="zh-CN"/>
        </w:rPr>
        <w:t>并在当月的考评中扣除相应的分数</w:t>
      </w:r>
      <w:r>
        <w:rPr>
          <w:rFonts w:hint="eastAsia" w:ascii="仿宋" w:hAnsi="仿宋" w:eastAsia="仿宋" w:cs="仿宋"/>
          <w:color w:val="auto"/>
          <w:sz w:val="32"/>
          <w:szCs w:val="32"/>
          <w:lang w:val="en-US" w:eastAsia="zh-CN"/>
        </w:rPr>
        <w:t>。重要活动环境保障期间，乙方施工人员未按规定在岗两次或存在问题被通报批评，造成不良影响的，甲方有权扣除5000元/次，</w:t>
      </w:r>
      <w:r>
        <w:rPr>
          <w:rStyle w:val="12"/>
          <w:rFonts w:hint="eastAsia" w:ascii="仿宋" w:hAnsi="仿宋" w:eastAsia="仿宋" w:cs="仿宋"/>
          <w:b w:val="0"/>
          <w:bCs w:val="0"/>
          <w:i w:val="0"/>
          <w:iCs w:val="0"/>
          <w:caps w:val="0"/>
          <w:color w:val="auto"/>
          <w:spacing w:val="0"/>
          <w:sz w:val="32"/>
          <w:szCs w:val="32"/>
          <w:shd w:val="clear" w:fill="FFFFFF"/>
          <w:lang w:val="en-US" w:eastAsia="zh-CN"/>
        </w:rPr>
        <w:t>并在当月的考评中扣除相应的分数</w:t>
      </w:r>
      <w:r>
        <w:rPr>
          <w:rFonts w:hint="eastAsia" w:ascii="仿宋" w:hAnsi="仿宋" w:eastAsia="仿宋" w:cs="仿宋"/>
          <w:color w:val="auto"/>
          <w:sz w:val="32"/>
          <w:szCs w:val="32"/>
          <w:lang w:val="en-US" w:eastAsia="zh-CN"/>
        </w:rPr>
        <w:t>。</w:t>
      </w:r>
    </w:p>
    <w:p w14:paraId="4F5FD871">
      <w:pPr>
        <w:keepNext w:val="0"/>
        <w:keepLines w:val="0"/>
        <w:pageBreakBefore w:val="0"/>
        <w:widowControl/>
        <w:numPr>
          <w:ilvl w:val="0"/>
          <w:numId w:val="4"/>
        </w:numPr>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分值计算：每月养护质量得分由前三周周检查得分（各占总分20%）与最后一周月度检查得分（占总分40%）综合计算得出。</w:t>
      </w:r>
    </w:p>
    <w:p w14:paraId="00790822">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6、费用结算：</w:t>
      </w:r>
    </w:p>
    <w:p w14:paraId="27869AD7">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当月养护质量得分达到或超过90分（含90分），视为乙方当月养护工作合格，甲方将全额支付当月有偿服务费；当月养护质量得分低于90分时，每降低合格线1分，甲方将扣除当月有偿服务费的1%。连续两个月得分低于75分（含75分），甲方有权终止本合同，由此产生的所有经济损失由乙方自行承担。</w:t>
      </w:r>
    </w:p>
    <w:p w14:paraId="4E25BE8A">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7、加分标准</w:t>
      </w:r>
    </w:p>
    <w:p w14:paraId="167C57BE">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乙方除完成常规养护工作外，如满足以下条件，可获得额外加分，计入当月养护得分：</w:t>
      </w:r>
    </w:p>
    <w:p w14:paraId="306D756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（1）精品路段养护加分：</w:t>
      </w:r>
    </w:p>
    <w:p w14:paraId="281AA57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乙方每月需向甲方提供两条精品路段，涵盖绿篱修剪、行道树抹芽、病虫害防治等养护工作。</w:t>
      </w:r>
    </w:p>
    <w:p w14:paraId="4737979A">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优秀：若经甲方评估，上述精品路段养护效果达到“优秀”标准，当月养护得分加5分。</w:t>
      </w:r>
    </w:p>
    <w:p w14:paraId="7B95AE99">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良好：若达到“良好”标准，当月养护得分不加分。</w:t>
      </w:r>
    </w:p>
    <w:p w14:paraId="2C74B313">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不达标：若“不达标”，当月养护得分扣5分。</w:t>
      </w:r>
    </w:p>
    <w:p w14:paraId="726085A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（2）应急抢险任务加分：</w:t>
      </w:r>
    </w:p>
    <w:p w14:paraId="14CACB6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响应速度：在接到甲方关于应急抢险任务的通知后，乙方能迅速组织人员、车辆、机械到位。</w:t>
      </w:r>
    </w:p>
    <w:p w14:paraId="481E779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资源配置：参与应急抢险的人员、车辆、机械配备齐全，满足甲方及合同约定的要求。</w:t>
      </w:r>
    </w:p>
    <w:p w14:paraId="6D27014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服从调度：乙方服从甲方在应急抢险过程中的统一调度与指挥，积极配合完成各项任务。</w:t>
      </w:r>
    </w:p>
    <w:p w14:paraId="42F403F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任务完成：在规定时间内高效、妥善地完成应急抢险任务，确保险情得到有效控制或消除。</w:t>
      </w:r>
    </w:p>
    <w:p w14:paraId="0822693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满足上述应急抢险任务要求的，每次加5分计入当月养护得分。</w:t>
      </w:r>
    </w:p>
    <w:p w14:paraId="6394D383">
      <w:pPr>
        <w:pStyle w:val="5"/>
        <w:ind w:firstLine="643" w:firstLineChars="200"/>
        <w:outlineLvl w:val="1"/>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rPr>
        <w:t>第</w:t>
      </w:r>
      <w:r>
        <w:rPr>
          <w:rFonts w:hint="eastAsia" w:ascii="仿宋" w:hAnsi="仿宋" w:eastAsia="仿宋" w:cs="仿宋"/>
          <w:b/>
          <w:bCs/>
          <w:color w:val="auto"/>
          <w:sz w:val="32"/>
          <w:szCs w:val="32"/>
          <w:lang w:val="en-US" w:eastAsia="zh-CN"/>
        </w:rPr>
        <w:t>十六</w:t>
      </w:r>
      <w:r>
        <w:rPr>
          <w:rFonts w:hint="eastAsia" w:ascii="仿宋" w:hAnsi="仿宋" w:eastAsia="仿宋" w:cs="仿宋"/>
          <w:b/>
          <w:bCs/>
          <w:color w:val="auto"/>
          <w:sz w:val="32"/>
          <w:szCs w:val="32"/>
        </w:rPr>
        <w:t>条  安全</w:t>
      </w:r>
      <w:r>
        <w:rPr>
          <w:rFonts w:hint="eastAsia" w:ascii="仿宋" w:hAnsi="仿宋" w:eastAsia="仿宋" w:cs="仿宋"/>
          <w:b/>
          <w:bCs/>
          <w:color w:val="auto"/>
          <w:sz w:val="32"/>
          <w:szCs w:val="32"/>
          <w:lang w:val="en-US" w:eastAsia="zh-CN"/>
        </w:rPr>
        <w:t>管理与</w:t>
      </w:r>
      <w:r>
        <w:rPr>
          <w:rFonts w:hint="eastAsia" w:ascii="仿宋" w:hAnsi="仿宋" w:eastAsia="仿宋" w:cs="仿宋"/>
          <w:b/>
          <w:bCs/>
          <w:color w:val="auto"/>
          <w:sz w:val="32"/>
          <w:szCs w:val="32"/>
        </w:rPr>
        <w:t>事故</w:t>
      </w:r>
      <w:r>
        <w:rPr>
          <w:rFonts w:hint="eastAsia" w:ascii="仿宋" w:hAnsi="仿宋" w:eastAsia="仿宋" w:cs="仿宋"/>
          <w:b/>
          <w:bCs/>
          <w:color w:val="auto"/>
          <w:sz w:val="32"/>
          <w:szCs w:val="32"/>
          <w:lang w:val="en-US" w:eastAsia="zh-CN"/>
        </w:rPr>
        <w:t>责任</w:t>
      </w:r>
    </w:p>
    <w:p w14:paraId="7812B197">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val="en-US" w:eastAsia="zh-CN"/>
        </w:rPr>
        <w:t>1、</w:t>
      </w:r>
      <w:r>
        <w:rPr>
          <w:rFonts w:hint="eastAsia" w:ascii="仿宋" w:hAnsi="仿宋" w:eastAsia="仿宋" w:cs="仿宋"/>
          <w:b w:val="0"/>
          <w:bCs/>
          <w:sz w:val="32"/>
          <w:szCs w:val="32"/>
        </w:rPr>
        <w:t>作业安全管理：</w:t>
      </w:r>
    </w:p>
    <w:p w14:paraId="75F50EEB">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1</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安全生产计划与培训：乙方应预先制定安全生产作业计划，对所有参与养护工作的人员进行岗前教育与培训，确保其熟悉并遵守相关安全规定。所有技术工种及特殊工种（如高架车、吊车操作员等）应持证上岗，作业过程中应持续做好安全生产管理。</w:t>
      </w:r>
    </w:p>
    <w:p w14:paraId="48F7DA78">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2</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道路绿化作业安全：占用道路进行绿化作业时，乙方应严格遵守道路交通安全相关规定，在施工周围放置安全桶</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施工人员身穿反光服</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增加交通疏导员、设置警示牌，确保作业过程不影响交通秩序与行人、车辆安全。</w:t>
      </w:r>
    </w:p>
    <w:p w14:paraId="1424A6D8">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3</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高空作业安全：乙方进行高空作业时，应符合 DB6101/T 3124 第 4.5条的规定，采取必要的安全防护措施，确保作业人员安全。</w:t>
      </w:r>
    </w:p>
    <w:p w14:paraId="16F3C17A">
      <w:pPr>
        <w:pStyle w:val="5"/>
        <w:ind w:firstLine="640" w:firstLineChars="200"/>
        <w:rPr>
          <w:rFonts w:hint="eastAsia" w:ascii="仿宋" w:hAnsi="仿宋" w:eastAsia="仿宋" w:cs="仿宋"/>
          <w:b w:val="0"/>
          <w:bCs/>
          <w:sz w:val="32"/>
          <w:szCs w:val="32"/>
        </w:rPr>
      </w:pPr>
      <w:r>
        <w:rPr>
          <w:rFonts w:hint="eastAsia" w:ascii="仿宋" w:hAnsi="仿宋" w:eastAsia="仿宋" w:cs="仿宋"/>
          <w:b w:val="0"/>
          <w:bCs/>
          <w:sz w:val="32"/>
          <w:szCs w:val="32"/>
        </w:rPr>
        <w:t>树上作业应一人一树，不得在两株或多株树体间攀爬；剪除大枝应有人员指挥操作，疏剪大枝可重复“三步剪”,分几段剪除，应使用机械或绳子牵引，预先用绳索吊好、锯断后慢慢放下。</w:t>
      </w:r>
    </w:p>
    <w:p w14:paraId="4241C5EE">
      <w:pPr>
        <w:pStyle w:val="5"/>
        <w:ind w:firstLine="640" w:firstLineChars="200"/>
        <w:rPr>
          <w:rFonts w:hint="eastAsia" w:ascii="仿宋" w:hAnsi="仿宋" w:eastAsia="仿宋" w:cs="仿宋"/>
          <w:b w:val="0"/>
          <w:bCs/>
          <w:sz w:val="32"/>
          <w:szCs w:val="32"/>
        </w:rPr>
      </w:pPr>
      <w:r>
        <w:rPr>
          <w:rFonts w:hint="eastAsia" w:ascii="仿宋" w:hAnsi="仿宋" w:eastAsia="仿宋" w:cs="仿宋"/>
          <w:b w:val="0"/>
          <w:bCs/>
          <w:sz w:val="32"/>
          <w:szCs w:val="32"/>
        </w:rPr>
        <w:t>雷、雨、雪等极端天气、四级及以上大风不应空中作业。</w:t>
      </w:r>
    </w:p>
    <w:p w14:paraId="4D6E628B">
      <w:pPr>
        <w:pStyle w:val="5"/>
        <w:ind w:firstLine="640" w:firstLineChars="200"/>
        <w:rPr>
          <w:rFonts w:hint="eastAsia" w:ascii="仿宋" w:hAnsi="仿宋" w:eastAsia="仿宋" w:cs="仿宋"/>
          <w:b w:val="0"/>
          <w:bCs/>
          <w:sz w:val="32"/>
          <w:szCs w:val="32"/>
        </w:rPr>
      </w:pPr>
      <w:r>
        <w:rPr>
          <w:rFonts w:hint="eastAsia" w:ascii="仿宋" w:hAnsi="仿宋" w:eastAsia="仿宋" w:cs="仿宋"/>
          <w:b w:val="0"/>
          <w:bCs/>
          <w:sz w:val="32"/>
          <w:szCs w:val="32"/>
        </w:rPr>
        <w:t>在高压线附近作业，应提前协调供电部门配合，并符合安全距离要求，避免触电。</w:t>
      </w:r>
    </w:p>
    <w:p w14:paraId="50B8A129">
      <w:pPr>
        <w:pStyle w:val="5"/>
        <w:ind w:firstLine="640" w:firstLineChars="200"/>
        <w:rPr>
          <w:rFonts w:hint="eastAsia" w:ascii="仿宋" w:hAnsi="仿宋" w:eastAsia="仿宋" w:cs="仿宋"/>
          <w:b w:val="0"/>
          <w:bCs/>
          <w:sz w:val="32"/>
          <w:szCs w:val="32"/>
        </w:rPr>
      </w:pPr>
      <w:r>
        <w:rPr>
          <w:rFonts w:hint="eastAsia" w:ascii="仿宋" w:hAnsi="仿宋" w:eastAsia="仿宋" w:cs="仿宋"/>
          <w:b w:val="0"/>
          <w:bCs/>
          <w:sz w:val="32"/>
          <w:szCs w:val="32"/>
        </w:rPr>
        <w:t>在特殊地形作业时，应有相应的安全保障措施。</w:t>
      </w:r>
    </w:p>
    <w:p w14:paraId="7B0468DD">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4</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作业车辆与设备安全：乙方使用的作业车辆与设备应安装规格统一的安全防护装置，粘贴反光标识，并根据作业类别设置相应的安全防护标志与设施。</w:t>
      </w:r>
    </w:p>
    <w:p w14:paraId="2061EAEB">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5</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农药安全使用：</w:t>
      </w:r>
    </w:p>
    <w:p w14:paraId="39CDD7F6">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rPr>
        <w:t>农药使用规定：乙方应按照《农药安全使用规定》《农药管理条例》使用农药。</w:t>
      </w:r>
    </w:p>
    <w:p w14:paraId="23D66091">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rPr>
        <w:t>农药选择：乙方应优先选用低毒、低残留农药和生物制剂农药，严禁使用剧毒农药。注意农药的交替使用，避免产生抗药性。</w:t>
      </w:r>
    </w:p>
    <w:p w14:paraId="6D563570">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rPr>
        <w:t>个人防护：喷洒农药时，乙方作业人员应佩戴手套、口罩、防护面罩等防护用具，确保人身安全。</w:t>
      </w:r>
    </w:p>
    <w:p w14:paraId="4BBC528F">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rPr>
        <w:t>警示与防护：喷药区域应设置安全警示牌，毒鼠盒应放置在隐蔽位置，防止对公众造成意外伤害。</w:t>
      </w:r>
    </w:p>
    <w:p w14:paraId="578EFFC9">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val="en-US" w:eastAsia="zh-CN"/>
        </w:rPr>
        <w:t>2、</w:t>
      </w:r>
      <w:r>
        <w:rPr>
          <w:rFonts w:hint="eastAsia" w:ascii="仿宋" w:hAnsi="仿宋" w:eastAsia="仿宋" w:cs="仿宋"/>
          <w:b w:val="0"/>
          <w:bCs/>
          <w:sz w:val="32"/>
          <w:szCs w:val="32"/>
        </w:rPr>
        <w:t>乙方安全责任与义务：</w:t>
      </w:r>
    </w:p>
    <w:p w14:paraId="3CF2CA34">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1</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遵守安全管理制度：乙方在养护期间，应严格遵守有关安全管理制度，随时接受安全检查人员依法实施的监督检查，采取必要的安全防护措施，消除事故隐患。</w:t>
      </w:r>
    </w:p>
    <w:p w14:paraId="763D2649">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2</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工作人员伤亡与财产损失责任：乙方工作人员在养护工作中遭受的人身伤亡事件或财产损坏、损失，乙方须负完全法律责任，并赔偿甲方遭受的一切损失。若乙方不支付上述费用，甲方有权从支付给乙方的合同款项中扣除，不足部分由乙方另行支付。</w:t>
      </w:r>
    </w:p>
    <w:p w14:paraId="11762751">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3</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安全防护费用：乙方在从事喷洒农药、控制有害生物、修剪树木、修理设施等工作时，应自行采取相应的安全防护措施。除双方另有约定外，安全防护费用由乙方自行承担。</w:t>
      </w:r>
    </w:p>
    <w:p w14:paraId="11C76B70">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4</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设施安全：乙方应保证养护范围内的各项设施能够安全使用，对于存在安全隐患的设施应及时修理或更换。因乙方维护不当导致设施故障造成第三方人身、财产损害的，由乙方独立承担全部法律责任。</w:t>
      </w:r>
    </w:p>
    <w:p w14:paraId="6E474B96">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5</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药剂使用：乙方对土壤进行消毒或防治病虫害时，应使用符合环保要求的药剂，严禁使用国家禁止的剧毒、高残留或可能造成其他公害的药剂。乙方喷洒药物前，须将喷洒时间、药物种类提前报甲方批准，按甲方批准的时间和路线进行喷洒。乙方应按规定妥善收集和处理残留药剂和容器，未按规定使用药剂造成的责任由乙方自行承担。</w:t>
      </w:r>
    </w:p>
    <w:p w14:paraId="231CBB0E">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b w:val="0"/>
          <w:bCs/>
          <w:sz w:val="32"/>
          <w:szCs w:val="32"/>
        </w:rPr>
      </w:pPr>
      <w:r>
        <w:rPr>
          <w:rFonts w:hint="eastAsia" w:ascii="仿宋" w:hAnsi="仿宋" w:eastAsia="仿宋" w:cs="仿宋"/>
          <w:b w:val="0"/>
          <w:bCs/>
          <w:sz w:val="32"/>
          <w:szCs w:val="32"/>
          <w:lang w:eastAsia="zh-CN"/>
        </w:rPr>
        <w:t>（</w:t>
      </w:r>
      <w:r>
        <w:rPr>
          <w:rFonts w:hint="eastAsia" w:ascii="仿宋" w:hAnsi="仿宋" w:eastAsia="仿宋" w:cs="仿宋"/>
          <w:b w:val="0"/>
          <w:bCs/>
          <w:sz w:val="32"/>
          <w:szCs w:val="32"/>
          <w:lang w:val="en-US" w:eastAsia="zh-CN"/>
        </w:rPr>
        <w:t>6</w:t>
      </w:r>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禁止焚烧：乙方在养护期间，严禁在绿地内焚烧枯枝、垃圾杂物。若乙方违反此规定，甲方将对乙方处以5000-10000元罚款，且由此带来的一切后果由乙方承担。</w:t>
      </w:r>
    </w:p>
    <w:p w14:paraId="16E0560E">
      <w:pPr>
        <w:pStyle w:val="5"/>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color w:val="auto"/>
          <w:sz w:val="32"/>
          <w:szCs w:val="32"/>
        </w:rPr>
      </w:pPr>
      <w:r>
        <w:rPr>
          <w:rFonts w:hint="eastAsia" w:ascii="仿宋" w:hAnsi="仿宋" w:eastAsia="仿宋" w:cs="仿宋"/>
          <w:b/>
          <w:bCs/>
          <w:color w:val="auto"/>
          <w:sz w:val="32"/>
          <w:szCs w:val="32"/>
        </w:rPr>
        <w:t>第</w:t>
      </w:r>
      <w:r>
        <w:rPr>
          <w:rFonts w:hint="eastAsia" w:ascii="仿宋" w:hAnsi="仿宋" w:eastAsia="仿宋" w:cs="仿宋"/>
          <w:b/>
          <w:bCs/>
          <w:color w:val="auto"/>
          <w:sz w:val="32"/>
          <w:szCs w:val="32"/>
          <w:lang w:val="en-US" w:eastAsia="zh-CN"/>
        </w:rPr>
        <w:t>十七</w:t>
      </w:r>
      <w:r>
        <w:rPr>
          <w:rFonts w:hint="eastAsia" w:ascii="仿宋" w:hAnsi="仿宋" w:eastAsia="仿宋" w:cs="仿宋"/>
          <w:b/>
          <w:bCs/>
          <w:color w:val="auto"/>
          <w:sz w:val="32"/>
          <w:szCs w:val="32"/>
        </w:rPr>
        <w:t>条  养护所需机械、材料、器具设备</w:t>
      </w:r>
      <w:r>
        <w:rPr>
          <w:rFonts w:hint="eastAsia" w:ascii="仿宋" w:hAnsi="仿宋" w:eastAsia="仿宋" w:cs="仿宋"/>
          <w:b/>
          <w:bCs/>
          <w:color w:val="auto"/>
          <w:sz w:val="32"/>
          <w:szCs w:val="32"/>
          <w:lang w:val="en-US" w:eastAsia="zh-CN"/>
        </w:rPr>
        <w:t>约定</w:t>
      </w:r>
    </w:p>
    <w:p w14:paraId="3C2A8B39">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除本合同另有明确约定外，乙方应自行配置完成绿地养护管理所需的所有交通工具、机械、材料、器具设备等，确保其具备履行合同义务的能力。</w:t>
      </w:r>
    </w:p>
    <w:p w14:paraId="17EB2E48">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乙方提供的所有机械、材料、器具设备必须符合国家及行业相关安全标准。在使用前，乙方应按照规范要求对上述物品进行严格检验或试验，确保其安全可靠。凡检验或试验不合格</w:t>
      </w:r>
      <w:r>
        <w:rPr>
          <w:rFonts w:hint="eastAsia" w:ascii="仿宋" w:hAnsi="仿宋" w:eastAsia="仿宋" w:cs="仿宋"/>
          <w:sz w:val="32"/>
          <w:szCs w:val="32"/>
          <w:lang w:eastAsia="zh-CN"/>
        </w:rPr>
        <w:t>，</w:t>
      </w:r>
      <w:r>
        <w:rPr>
          <w:rFonts w:hint="eastAsia" w:ascii="仿宋" w:hAnsi="仿宋" w:eastAsia="仿宋" w:cs="仿宋"/>
          <w:sz w:val="32"/>
          <w:szCs w:val="32"/>
        </w:rPr>
        <w:t>在数量、规格或品质上未能达到本合同约定标准的机械、材料、器具设备，乙方不得在养护工作中使用。</w:t>
      </w:r>
    </w:p>
    <w:p w14:paraId="53AD8EE9">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3、</w:t>
      </w:r>
      <w:r>
        <w:rPr>
          <w:rFonts w:hint="eastAsia" w:ascii="仿宋" w:hAnsi="仿宋" w:eastAsia="仿宋" w:cs="仿宋"/>
          <w:sz w:val="32"/>
          <w:szCs w:val="32"/>
        </w:rPr>
        <w:t>甲方有权对乙方提供的或在养护工作中使用的机械、材料、器具设备进行检查。如发现不符合本合同约定的，乙方应立即按照甲方要求，采取更换、重做、修复等必要补救措施，确保相关机械、材料、器具设备符合合同约定。</w:t>
      </w:r>
    </w:p>
    <w:p w14:paraId="39186DCD">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因乙方提供或使用不符合约定的机械、材料、器具设备而产生的更换、重做、修复等费用，以及由此导致的工期延误、养护质量下降等损失，均由乙方承担</w:t>
      </w:r>
      <w:r>
        <w:rPr>
          <w:rFonts w:hint="eastAsia" w:ascii="仿宋" w:hAnsi="仿宋" w:eastAsia="仿宋" w:cs="仿宋"/>
          <w:sz w:val="32"/>
          <w:szCs w:val="32"/>
          <w:lang w:val="en-US" w:eastAsia="zh-CN"/>
        </w:rPr>
        <w:t>相关责任</w:t>
      </w:r>
      <w:r>
        <w:rPr>
          <w:rFonts w:hint="eastAsia" w:ascii="仿宋" w:hAnsi="仿宋" w:eastAsia="仿宋" w:cs="仿宋"/>
          <w:sz w:val="32"/>
          <w:szCs w:val="32"/>
        </w:rPr>
        <w:t>。</w:t>
      </w:r>
    </w:p>
    <w:p w14:paraId="4C32E204">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十八</w:t>
      </w:r>
      <w:r>
        <w:rPr>
          <w:rFonts w:hint="eastAsia" w:ascii="仿宋" w:hAnsi="仿宋" w:eastAsia="仿宋" w:cs="仿宋"/>
          <w:b/>
          <w:bCs w:val="0"/>
          <w:sz w:val="32"/>
          <w:szCs w:val="32"/>
        </w:rPr>
        <w:t>条  甲方的权利和义务</w:t>
      </w:r>
    </w:p>
    <w:p w14:paraId="58C64B8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w:t>
      </w:r>
      <w:r>
        <w:rPr>
          <w:rFonts w:hint="eastAsia" w:ascii="仿宋" w:hAnsi="仿宋" w:eastAsia="仿宋" w:cs="仿宋"/>
          <w:sz w:val="32"/>
          <w:szCs w:val="32"/>
          <w:lang w:eastAsia="zh-CN"/>
        </w:rPr>
        <w:t>、</w:t>
      </w:r>
      <w:r>
        <w:rPr>
          <w:rFonts w:hint="eastAsia" w:ascii="仿宋" w:hAnsi="仿宋" w:eastAsia="仿宋" w:cs="仿宋"/>
          <w:sz w:val="32"/>
          <w:szCs w:val="32"/>
        </w:rPr>
        <w:t>将养护项目区域内的树木、草坪、花卉、绿篱、园林设施及其它需要养护的设施，列明范围或清单，双方进行现场确认。</w:t>
      </w:r>
    </w:p>
    <w:p w14:paraId="543134DF">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w:t>
      </w:r>
      <w:r>
        <w:rPr>
          <w:rFonts w:hint="eastAsia" w:ascii="仿宋" w:hAnsi="仿宋" w:eastAsia="仿宋" w:cs="仿宋"/>
          <w:sz w:val="32"/>
          <w:szCs w:val="32"/>
          <w:lang w:eastAsia="zh-CN"/>
        </w:rPr>
        <w:t>、</w:t>
      </w:r>
      <w:r>
        <w:rPr>
          <w:rFonts w:hint="eastAsia" w:ascii="仿宋" w:hAnsi="仿宋" w:eastAsia="仿宋" w:cs="仿宋"/>
          <w:sz w:val="32"/>
          <w:szCs w:val="32"/>
        </w:rPr>
        <w:t>因苗木自然老化，不可抗拒的自然因素造成苗木损坏，由甲方提供苗木，由乙方补种。</w:t>
      </w:r>
    </w:p>
    <w:p w14:paraId="01FDEAAC">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3</w:t>
      </w:r>
      <w:r>
        <w:rPr>
          <w:rFonts w:hint="eastAsia" w:ascii="仿宋" w:hAnsi="仿宋" w:eastAsia="仿宋" w:cs="仿宋"/>
          <w:sz w:val="32"/>
          <w:szCs w:val="32"/>
          <w:lang w:eastAsia="zh-CN"/>
        </w:rPr>
        <w:t>、</w:t>
      </w:r>
      <w:r>
        <w:rPr>
          <w:rFonts w:hint="eastAsia" w:ascii="仿宋" w:hAnsi="仿宋" w:eastAsia="仿宋" w:cs="仿宋"/>
          <w:sz w:val="32"/>
          <w:szCs w:val="32"/>
        </w:rPr>
        <w:t>按照本合同约定，检查、考核乙方的工作。</w:t>
      </w:r>
    </w:p>
    <w:p w14:paraId="015659F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4</w:t>
      </w:r>
      <w:r>
        <w:rPr>
          <w:rFonts w:hint="eastAsia" w:ascii="仿宋" w:hAnsi="仿宋" w:eastAsia="仿宋" w:cs="仿宋"/>
          <w:sz w:val="32"/>
          <w:szCs w:val="32"/>
          <w:lang w:eastAsia="zh-CN"/>
        </w:rPr>
        <w:t>、</w:t>
      </w:r>
      <w:r>
        <w:rPr>
          <w:rFonts w:hint="eastAsia" w:ascii="仿宋" w:hAnsi="仿宋" w:eastAsia="仿宋" w:cs="仿宋"/>
          <w:sz w:val="32"/>
          <w:szCs w:val="32"/>
        </w:rPr>
        <w:t>按合同约定向乙方支付养护费用。</w:t>
      </w:r>
    </w:p>
    <w:p w14:paraId="59E4692D">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十九</w:t>
      </w:r>
      <w:r>
        <w:rPr>
          <w:rFonts w:hint="eastAsia" w:ascii="仿宋" w:hAnsi="仿宋" w:eastAsia="仿宋" w:cs="仿宋"/>
          <w:b/>
          <w:bCs w:val="0"/>
          <w:sz w:val="32"/>
          <w:szCs w:val="32"/>
        </w:rPr>
        <w:t>条  乙方的权利和义务</w:t>
      </w:r>
    </w:p>
    <w:p w14:paraId="25E9A5A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1、养护与日常巡查：</w:t>
      </w:r>
    </w:p>
    <w:p w14:paraId="5ECA030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乙方负责绿地内各类植物的日常养护工作，包括但不限于浇水、施肥、修剪、病虫害防治、清理枯枝落叶等，确保植物健康生长。</w:t>
      </w:r>
    </w:p>
    <w:p w14:paraId="1492AD2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乙方应定期进行绿地内各类植物及设施的巡视检查，如发现苗木损坏、设施被盗等情况，应立即向甲方报告，并在甲方同意的期限内进行补缺、恢复工作。</w:t>
      </w:r>
    </w:p>
    <w:p w14:paraId="16501C3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2、补种责任：</w:t>
      </w:r>
    </w:p>
    <w:p w14:paraId="034C18A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由于乙方养护不当导致苗木病变、坏死的，乙方有义务补种相同品种、规格的苗木，补种费用由乙方承担，并从乙方养护费中扣除。</w:t>
      </w:r>
    </w:p>
    <w:p w14:paraId="13CAF44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3、养护设备与材料供应：</w:t>
      </w:r>
    </w:p>
    <w:p w14:paraId="5A7525A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乙方应提供绿化养护工作所需的所有园林机具、肥料、农药等，并确保其符合国家相关标准及本合同约定的质量要求。</w:t>
      </w:r>
    </w:p>
    <w:p w14:paraId="4935E93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4、接受管理与整改：</w:t>
      </w:r>
    </w:p>
    <w:p w14:paraId="2D53EF6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应接受甲方对绿化养护工作的管理、监督、检查和考核，对甲方提出的整改要求，乙方应按期、按要求进行整改。如乙方无正当理由拒绝整改，甲方有权委托第三方进行整改，由此产生的费用由乙方承担。连续两次拒绝整改的，甲方有权终止本合同，扣除全部养护费，乙方自行承担由此产生的全部经济损失。</w:t>
      </w:r>
    </w:p>
    <w:p w14:paraId="2518371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5、人员管理与费用承担：</w:t>
      </w:r>
    </w:p>
    <w:p w14:paraId="76B3885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乙方负责绿化养护工作人员的劳动保护、人身安全、薪酬、福利、社会保险、杂费、税金等一切费用，以及餐饮、住宿等生活安排。</w:t>
      </w:r>
    </w:p>
    <w:p w14:paraId="0CD1F52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如因乙方员工发生劳动争议影响或可能影响本合同履行的，乙方应及时调整，确保绿化养护工作的正常进行与养护质量。</w:t>
      </w:r>
    </w:p>
    <w:p w14:paraId="2577F19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6、服务响应与信息报送：</w:t>
      </w:r>
    </w:p>
    <w:p w14:paraId="28332A6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乙方在提供养护服务过程中，应尊重并执行甲方的意见与建议。</w:t>
      </w:r>
    </w:p>
    <w:p w14:paraId="0427941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收到甲方通知后，乙方应确保在指定时间内到达指定现场，快速响应并处理相关问题，处理完毕后及时回复甲方。乙方应结合巡查及维护工作，按时向甲方报送养护情况、数据报告等信息，确保甲方对养护工作的全面了解与有效监督。</w:t>
      </w:r>
    </w:p>
    <w:p w14:paraId="430EB19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7、巡查配合与投诉处理：</w:t>
      </w:r>
    </w:p>
    <w:p w14:paraId="0B86C95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乙方有义务为甲方的巡查检查工作提供便利，配合现场检查、提供相关资料等。</w:t>
      </w:r>
    </w:p>
    <w:p w14:paraId="3A6F5D3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乙方应协助甲方处理养护范围内需要协调的事宜与投诉工作，确保养护工作的顺利进行，提升公众满意度。</w:t>
      </w:r>
    </w:p>
    <w:p w14:paraId="28FBAA60">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二十</w:t>
      </w:r>
      <w:r>
        <w:rPr>
          <w:rFonts w:hint="eastAsia" w:ascii="仿宋" w:hAnsi="仿宋" w:eastAsia="仿宋" w:cs="仿宋"/>
          <w:b/>
          <w:bCs w:val="0"/>
          <w:sz w:val="32"/>
          <w:szCs w:val="32"/>
        </w:rPr>
        <w:t>条  违约责任</w:t>
      </w:r>
    </w:p>
    <w:p w14:paraId="02459CA0">
      <w:pPr>
        <w:ind w:firstLine="640" w:firstLineChars="200"/>
        <w:rPr>
          <w:rFonts w:hint="eastAsia" w:ascii="仿宋" w:hAnsi="仿宋" w:eastAsia="仿宋" w:cs="仿宋"/>
          <w:sz w:val="32"/>
          <w:szCs w:val="32"/>
        </w:rPr>
      </w:pPr>
      <w:r>
        <w:rPr>
          <w:rFonts w:hint="eastAsia" w:ascii="仿宋" w:hAnsi="仿宋" w:eastAsia="仿宋" w:cs="仿宋"/>
          <w:sz w:val="32"/>
          <w:szCs w:val="32"/>
        </w:rPr>
        <w:t>1</w:t>
      </w:r>
      <w:r>
        <w:rPr>
          <w:rFonts w:hint="eastAsia" w:ascii="仿宋" w:hAnsi="仿宋" w:eastAsia="仿宋" w:cs="仿宋"/>
          <w:sz w:val="32"/>
          <w:szCs w:val="32"/>
          <w:lang w:eastAsia="zh-CN"/>
        </w:rPr>
        <w:t>、</w:t>
      </w:r>
      <w:r>
        <w:rPr>
          <w:rFonts w:hint="eastAsia" w:ascii="仿宋" w:hAnsi="仿宋" w:eastAsia="仿宋" w:cs="仿宋"/>
          <w:sz w:val="32"/>
          <w:szCs w:val="32"/>
        </w:rPr>
        <w:t>甲乙双方均须严格遵守本合同的各项条款与约定，确保合同的正常履行。</w:t>
      </w:r>
    </w:p>
    <w:p w14:paraId="573E52BB">
      <w:pPr>
        <w:ind w:firstLine="640" w:firstLineChars="200"/>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如因乙方工作人员在履行职务过程中的疏忽、失职、过错等故意或过失行为，导致甲方遭受直接或间接损失，包括但不限于甲方的财产损失、甲方因该行为对任何第三方承担的法律责任（包括但不限于赔偿金、诉讼费用、律师费等），乙方应对此承担全部赔偿责任。乙方应确保其工作人员熟知并遵守本合同相关义务，乙方对工作人员的上述行为承担连带责任。</w:t>
      </w:r>
    </w:p>
    <w:p w14:paraId="0FE24095">
      <w:pPr>
        <w:pStyle w:val="2"/>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3、乙方违反约定，应承担甲方为主张权利支付的全部费用</w:t>
      </w:r>
      <w:r>
        <w:rPr>
          <w:rFonts w:hint="eastAsia" w:ascii="仿宋" w:hAnsi="仿宋" w:eastAsia="仿宋" w:cs="仿宋"/>
          <w:sz w:val="32"/>
          <w:szCs w:val="32"/>
        </w:rPr>
        <w:t>（包括但不限于赔偿金、诉讼费用、律师费等）</w:t>
      </w:r>
      <w:r>
        <w:rPr>
          <w:rFonts w:hint="eastAsia" w:ascii="仿宋" w:hAnsi="仿宋" w:eastAsia="仿宋" w:cs="仿宋"/>
          <w:sz w:val="32"/>
          <w:szCs w:val="32"/>
          <w:lang w:eastAsia="zh-CN"/>
        </w:rPr>
        <w:t>。</w:t>
      </w:r>
    </w:p>
    <w:p w14:paraId="4ECB8AD8">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二十一</w:t>
      </w:r>
      <w:r>
        <w:rPr>
          <w:rFonts w:hint="eastAsia" w:ascii="仿宋" w:hAnsi="仿宋" w:eastAsia="仿宋" w:cs="仿宋"/>
          <w:b/>
          <w:bCs w:val="0"/>
          <w:sz w:val="32"/>
          <w:szCs w:val="32"/>
        </w:rPr>
        <w:t>条  不可抗力事件处理</w:t>
      </w:r>
    </w:p>
    <w:p w14:paraId="65A921B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w:t>
      </w:r>
      <w:r>
        <w:rPr>
          <w:rFonts w:hint="eastAsia" w:ascii="仿宋" w:hAnsi="仿宋" w:eastAsia="仿宋" w:cs="仿宋"/>
          <w:sz w:val="32"/>
          <w:szCs w:val="32"/>
        </w:rPr>
        <w:t>在合同有效期内，任何一方因不可抗力事件导致不能履行合同，则合同履行期可延长，其延长期与不可抗力影响期相同。</w:t>
      </w:r>
    </w:p>
    <w:p w14:paraId="477A1E06">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rPr>
        <w:t>不可抗力事件发生后，应立即通知对方，并寄送有关权威机构出具的证明。</w:t>
      </w:r>
    </w:p>
    <w:p w14:paraId="3A8D020D">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sz w:val="32"/>
          <w:szCs w:val="32"/>
        </w:rPr>
        <w:t>不可抗力事件延续</w:t>
      </w:r>
      <w:r>
        <w:rPr>
          <w:rFonts w:hint="eastAsia" w:ascii="仿宋" w:hAnsi="仿宋" w:eastAsia="仿宋" w:cs="仿宋"/>
          <w:sz w:val="32"/>
          <w:szCs w:val="32"/>
          <w:lang w:val="en-US" w:eastAsia="zh-CN"/>
        </w:rPr>
        <w:t>30</w:t>
      </w:r>
      <w:r>
        <w:rPr>
          <w:rFonts w:hint="eastAsia" w:ascii="仿宋" w:hAnsi="仿宋" w:eastAsia="仿宋" w:cs="仿宋"/>
          <w:sz w:val="32"/>
          <w:szCs w:val="32"/>
        </w:rPr>
        <w:t>天以上，双方应通过友好协商，确定是否继续履行合同。</w:t>
      </w:r>
    </w:p>
    <w:p w14:paraId="1C7CA6C1">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二十二</w:t>
      </w:r>
      <w:r>
        <w:rPr>
          <w:rFonts w:hint="eastAsia" w:ascii="仿宋" w:hAnsi="仿宋" w:eastAsia="仿宋" w:cs="仿宋"/>
          <w:b/>
          <w:bCs w:val="0"/>
          <w:sz w:val="32"/>
          <w:szCs w:val="32"/>
        </w:rPr>
        <w:t>条  合同的变更和终止</w:t>
      </w:r>
    </w:p>
    <w:p w14:paraId="10AE8718">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w:t>
      </w:r>
      <w:r>
        <w:rPr>
          <w:rFonts w:hint="eastAsia" w:ascii="仿宋" w:hAnsi="仿宋" w:eastAsia="仿宋" w:cs="仿宋"/>
          <w:sz w:val="32"/>
          <w:szCs w:val="32"/>
          <w:lang w:eastAsia="zh-CN"/>
        </w:rPr>
        <w:t>、</w:t>
      </w:r>
      <w:r>
        <w:rPr>
          <w:rFonts w:hint="eastAsia" w:ascii="仿宋" w:hAnsi="仿宋" w:eastAsia="仿宋" w:cs="仿宋"/>
          <w:sz w:val="32"/>
          <w:szCs w:val="32"/>
        </w:rPr>
        <w:t>除《中华人民共和国政府采购法》第49条、第50条第二款规定的情形外，本合同一经签订，甲乙双方不得擅自变更、中止或终止合同。</w:t>
      </w:r>
    </w:p>
    <w:p w14:paraId="5C9D3BB1">
      <w:pPr>
        <w:pStyle w:val="3"/>
        <w:keepNext w:val="0"/>
        <w:keepLines w:val="0"/>
        <w:pageBreakBefore w:val="0"/>
        <w:kinsoku/>
        <w:overflowPunct/>
        <w:topLinePunct w:val="0"/>
        <w:autoSpaceDE/>
        <w:autoSpaceDN/>
        <w:bidi w:val="0"/>
        <w:spacing w:line="560" w:lineRule="exact"/>
        <w:ind w:firstLine="640"/>
        <w:textAlignment w:val="auto"/>
        <w:rPr>
          <w:rFonts w:hint="eastAsia" w:ascii="仿宋" w:hAnsi="仿宋" w:eastAsia="仿宋" w:cs="仿宋"/>
          <w:sz w:val="32"/>
          <w:szCs w:val="32"/>
        </w:rPr>
      </w:pPr>
      <w:r>
        <w:rPr>
          <w:rFonts w:hint="eastAsia" w:ascii="仿宋" w:hAnsi="仿宋" w:eastAsia="仿宋" w:cs="仿宋"/>
          <w:sz w:val="32"/>
          <w:szCs w:val="32"/>
        </w:rPr>
        <w:t>2</w:t>
      </w:r>
      <w:r>
        <w:rPr>
          <w:rFonts w:hint="eastAsia" w:ascii="仿宋" w:hAnsi="仿宋" w:eastAsia="仿宋" w:cs="仿宋"/>
          <w:sz w:val="32"/>
          <w:szCs w:val="32"/>
          <w:lang w:eastAsia="zh-CN"/>
        </w:rPr>
        <w:t>、</w:t>
      </w:r>
      <w:r>
        <w:rPr>
          <w:rFonts w:hint="eastAsia" w:ascii="仿宋" w:hAnsi="仿宋" w:eastAsia="仿宋" w:cs="仿宋"/>
          <w:sz w:val="32"/>
          <w:szCs w:val="32"/>
        </w:rPr>
        <w:t>乙方在养护过程中，</w:t>
      </w:r>
      <w:r>
        <w:rPr>
          <w:rFonts w:hint="eastAsia" w:ascii="仿宋" w:hAnsi="仿宋" w:eastAsia="仿宋" w:cs="仿宋"/>
          <w:sz w:val="32"/>
          <w:szCs w:val="32"/>
          <w:lang w:val="en-US" w:eastAsia="zh-CN"/>
        </w:rPr>
        <w:t>因政策调整等原因导致</w:t>
      </w:r>
      <w:r>
        <w:rPr>
          <w:rFonts w:hint="eastAsia" w:ascii="仿宋" w:hAnsi="仿宋" w:eastAsia="仿宋" w:cs="仿宋"/>
          <w:sz w:val="32"/>
          <w:szCs w:val="32"/>
        </w:rPr>
        <w:t>道路面积及绿地广场面积的增加或减少，甲方有权根据乙方的投标价格增加或减少相应的养护费用，具体金额以补充协议为准</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乙方需无条件配合甲方进行相应调整。</w:t>
      </w:r>
    </w:p>
    <w:p w14:paraId="69A431A0">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二十三</w:t>
      </w:r>
      <w:r>
        <w:rPr>
          <w:rFonts w:hint="eastAsia" w:ascii="仿宋" w:hAnsi="仿宋" w:eastAsia="仿宋" w:cs="仿宋"/>
          <w:b/>
          <w:bCs w:val="0"/>
          <w:sz w:val="32"/>
          <w:szCs w:val="32"/>
        </w:rPr>
        <w:t>条  解决合同纠纷的方式</w:t>
      </w:r>
    </w:p>
    <w:p w14:paraId="3DDC2900">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w:t>
      </w:r>
      <w:r>
        <w:rPr>
          <w:rFonts w:hint="eastAsia" w:ascii="仿宋" w:hAnsi="仿宋" w:eastAsia="仿宋" w:cs="仿宋"/>
          <w:sz w:val="32"/>
          <w:szCs w:val="32"/>
          <w:lang w:eastAsia="zh-CN"/>
        </w:rPr>
        <w:t>、</w:t>
      </w:r>
      <w:r>
        <w:rPr>
          <w:rFonts w:hint="eastAsia" w:ascii="仿宋" w:hAnsi="仿宋" w:eastAsia="仿宋" w:cs="仿宋"/>
          <w:sz w:val="32"/>
          <w:szCs w:val="32"/>
        </w:rPr>
        <w:t>在执行本合同中发生的或与本合同有关的争端，双方应通过友好协商解决，经协商在</w:t>
      </w:r>
      <w:r>
        <w:rPr>
          <w:rFonts w:hint="eastAsia" w:ascii="仿宋" w:hAnsi="仿宋" w:eastAsia="仿宋" w:cs="仿宋"/>
          <w:sz w:val="32"/>
          <w:szCs w:val="32"/>
          <w:u w:val="single"/>
        </w:rPr>
        <w:t xml:space="preserve">  7</w:t>
      </w:r>
      <w:r>
        <w:rPr>
          <w:rFonts w:hint="eastAsia" w:ascii="仿宋" w:hAnsi="仿宋" w:eastAsia="仿宋" w:cs="仿宋"/>
          <w:sz w:val="32"/>
          <w:szCs w:val="32"/>
          <w:u w:val="single"/>
          <w:lang w:val="en-US" w:eastAsia="zh-CN"/>
        </w:rPr>
        <w:t xml:space="preserve"> </w:t>
      </w:r>
      <w:r>
        <w:rPr>
          <w:rFonts w:hint="eastAsia" w:ascii="仿宋" w:hAnsi="仿宋" w:eastAsia="仿宋" w:cs="仿宋"/>
          <w:sz w:val="32"/>
          <w:szCs w:val="32"/>
          <w:u w:val="single"/>
        </w:rPr>
        <w:t xml:space="preserve"> </w:t>
      </w:r>
      <w:r>
        <w:rPr>
          <w:rFonts w:hint="eastAsia" w:ascii="仿宋" w:hAnsi="仿宋" w:eastAsia="仿宋" w:cs="仿宋"/>
          <w:sz w:val="32"/>
          <w:szCs w:val="32"/>
        </w:rPr>
        <w:t>天内不能达成协议时，则采取以下第</w:t>
      </w:r>
      <w:r>
        <w:rPr>
          <w:rFonts w:hint="eastAsia" w:ascii="仿宋" w:hAnsi="仿宋" w:eastAsia="仿宋" w:cs="仿宋"/>
          <w:sz w:val="32"/>
          <w:szCs w:val="32"/>
          <w:u w:val="single"/>
          <w:lang w:val="en-US" w:eastAsia="zh-CN"/>
        </w:rPr>
        <w:t>（2）</w:t>
      </w:r>
      <w:r>
        <w:rPr>
          <w:rFonts w:hint="eastAsia" w:ascii="仿宋" w:hAnsi="仿宋" w:eastAsia="仿宋" w:cs="仿宋"/>
          <w:sz w:val="32"/>
          <w:szCs w:val="32"/>
        </w:rPr>
        <w:t>种方式解决争议：</w:t>
      </w:r>
    </w:p>
    <w:p w14:paraId="0B054E5C">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（1）向甲方所在地有管辖权的人民法院提起诉讼；</w:t>
      </w:r>
    </w:p>
    <w:p w14:paraId="2DB006D9">
      <w:pPr>
        <w:keepNext w:val="0"/>
        <w:keepLines w:val="0"/>
        <w:pageBreakBefore w:val="0"/>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（2）向西安仲裁委员会按其仲裁规则申请仲裁。</w:t>
      </w:r>
    </w:p>
    <w:p w14:paraId="5CC8EDB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2.在仲裁期间，本合同应继续履行。</w:t>
      </w:r>
    </w:p>
    <w:p w14:paraId="275BEBAA">
      <w:pPr>
        <w:keepNext w:val="0"/>
        <w:keepLines w:val="0"/>
        <w:pageBreakBefore w:val="0"/>
        <w:widowControl/>
        <w:kinsoku/>
        <w:overflowPunct/>
        <w:topLinePunct w:val="0"/>
        <w:autoSpaceDE/>
        <w:autoSpaceDN/>
        <w:bidi w:val="0"/>
        <w:adjustRightInd w:val="0"/>
        <w:snapToGrid w:val="0"/>
        <w:spacing w:line="560" w:lineRule="exact"/>
        <w:ind w:firstLine="643" w:firstLineChars="200"/>
        <w:textAlignment w:val="auto"/>
        <w:outlineLvl w:val="1"/>
        <w:rPr>
          <w:rFonts w:hint="eastAsia" w:ascii="仿宋" w:hAnsi="仿宋" w:eastAsia="仿宋" w:cs="仿宋"/>
          <w:b/>
          <w:bCs w:val="0"/>
          <w:sz w:val="32"/>
          <w:szCs w:val="32"/>
        </w:rPr>
      </w:pPr>
      <w:bookmarkStart w:id="10" w:name="_Toc237145412"/>
      <w:bookmarkStart w:id="11" w:name="_Toc238984981"/>
      <w:bookmarkStart w:id="12" w:name="_Toc211911354"/>
      <w:bookmarkStart w:id="13" w:name="_Toc211854455"/>
      <w:bookmarkStart w:id="14" w:name="_Toc239233920"/>
      <w:bookmarkStart w:id="15" w:name="_Toc185395255"/>
      <w:bookmarkStart w:id="16" w:name="_Toc286993793"/>
      <w:bookmarkStart w:id="17" w:name="_Toc239568424"/>
      <w:bookmarkStart w:id="18" w:name="_Toc225670757"/>
      <w:bookmarkStart w:id="19" w:name="_Toc251768868"/>
      <w:bookmarkStart w:id="20" w:name="_Toc232492934"/>
      <w:bookmarkStart w:id="21" w:name="_Toc247334847"/>
      <w:bookmarkStart w:id="22" w:name="_Toc282696231"/>
      <w:bookmarkStart w:id="23" w:name="_Toc225244858"/>
      <w:bookmarkStart w:id="24" w:name="_Toc225654650"/>
      <w:bookmarkStart w:id="25" w:name="_Toc212019600"/>
      <w:bookmarkStart w:id="26" w:name="_Toc241833909"/>
      <w:bookmarkStart w:id="27" w:name="_Toc283019219"/>
      <w:r>
        <w:rPr>
          <w:rFonts w:hint="eastAsia" w:ascii="仿宋" w:hAnsi="仿宋" w:eastAsia="仿宋" w:cs="仿宋"/>
          <w:b/>
          <w:bCs w:val="0"/>
          <w:sz w:val="32"/>
          <w:szCs w:val="32"/>
        </w:rPr>
        <w:t>第</w:t>
      </w:r>
      <w:r>
        <w:rPr>
          <w:rFonts w:hint="eastAsia" w:ascii="仿宋" w:hAnsi="仿宋" w:eastAsia="仿宋" w:cs="仿宋"/>
          <w:b/>
          <w:bCs w:val="0"/>
          <w:sz w:val="32"/>
          <w:szCs w:val="32"/>
          <w:lang w:val="en-US" w:eastAsia="zh-CN"/>
        </w:rPr>
        <w:t>二十四</w:t>
      </w:r>
      <w:r>
        <w:rPr>
          <w:rFonts w:hint="eastAsia" w:ascii="仿宋" w:hAnsi="仿宋" w:eastAsia="仿宋" w:cs="仿宋"/>
          <w:b/>
          <w:bCs w:val="0"/>
          <w:sz w:val="32"/>
          <w:szCs w:val="32"/>
        </w:rPr>
        <w:t>条  合同</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Pr>
          <w:rFonts w:hint="eastAsia" w:ascii="仿宋" w:hAnsi="仿宋" w:eastAsia="仿宋" w:cs="仿宋"/>
          <w:b/>
          <w:bCs w:val="0"/>
          <w:sz w:val="32"/>
          <w:szCs w:val="32"/>
        </w:rPr>
        <w:t>生效及其他</w:t>
      </w:r>
    </w:p>
    <w:p w14:paraId="4B9B69EC">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w:t>
      </w:r>
      <w:r>
        <w:rPr>
          <w:rFonts w:hint="eastAsia" w:ascii="仿宋" w:hAnsi="仿宋" w:eastAsia="仿宋" w:cs="仿宋"/>
          <w:sz w:val="32"/>
          <w:szCs w:val="32"/>
          <w:lang w:eastAsia="zh-CN"/>
        </w:rPr>
        <w:t>、</w:t>
      </w:r>
      <w:r>
        <w:rPr>
          <w:rFonts w:hint="eastAsia" w:ascii="仿宋" w:hAnsi="仿宋" w:eastAsia="仿宋" w:cs="仿宋"/>
          <w:sz w:val="32"/>
          <w:szCs w:val="32"/>
        </w:rPr>
        <w:t>合同经双方法定代表人或授权委托代理人签字并加盖单位公章后生效。</w:t>
      </w:r>
    </w:p>
    <w:p w14:paraId="6B438994">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w:t>
      </w:r>
      <w:r>
        <w:rPr>
          <w:rFonts w:hint="eastAsia" w:ascii="仿宋" w:hAnsi="仿宋" w:eastAsia="仿宋" w:cs="仿宋"/>
          <w:sz w:val="32"/>
          <w:szCs w:val="32"/>
          <w:lang w:eastAsia="zh-CN"/>
        </w:rPr>
        <w:t>、</w:t>
      </w:r>
      <w:r>
        <w:rPr>
          <w:rFonts w:hint="eastAsia" w:ascii="仿宋" w:hAnsi="仿宋" w:eastAsia="仿宋" w:cs="仿宋"/>
          <w:sz w:val="32"/>
          <w:szCs w:val="32"/>
        </w:rPr>
        <w:t>合同执行中涉及采购资金和采购内容修改或补充的，须经政府采购监管部门审批，并签书面补充协议报政府采购监督管理部门备案，方可作为主合同不可分割的一部分。</w:t>
      </w:r>
    </w:p>
    <w:p w14:paraId="7653EAB7">
      <w:pPr>
        <w:keepNext w:val="0"/>
        <w:keepLines w:val="0"/>
        <w:pageBreakBefore w:val="0"/>
        <w:widowControl/>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sz w:val="32"/>
          <w:szCs w:val="32"/>
        </w:rPr>
        <w:t>3</w:t>
      </w:r>
      <w:r>
        <w:rPr>
          <w:rFonts w:hint="eastAsia" w:ascii="仿宋" w:hAnsi="仿宋" w:eastAsia="仿宋" w:cs="仿宋"/>
          <w:sz w:val="32"/>
          <w:szCs w:val="32"/>
          <w:lang w:eastAsia="zh-CN"/>
        </w:rPr>
        <w:t>、</w:t>
      </w:r>
      <w:r>
        <w:rPr>
          <w:rFonts w:hint="eastAsia" w:ascii="仿宋" w:hAnsi="仿宋" w:eastAsia="仿宋" w:cs="仿宋"/>
          <w:sz w:val="32"/>
          <w:szCs w:val="32"/>
        </w:rPr>
        <w:t>本合同一式</w:t>
      </w:r>
      <w:r>
        <w:rPr>
          <w:rFonts w:hint="eastAsia" w:ascii="仿宋" w:hAnsi="仿宋" w:eastAsia="仿宋" w:cs="仿宋"/>
          <w:sz w:val="32"/>
          <w:szCs w:val="32"/>
          <w:u w:val="single"/>
        </w:rPr>
        <w:t xml:space="preserve"> 6 </w:t>
      </w:r>
      <w:r>
        <w:rPr>
          <w:rFonts w:hint="eastAsia" w:ascii="仿宋" w:hAnsi="仿宋" w:eastAsia="仿宋" w:cs="仿宋"/>
          <w:sz w:val="32"/>
          <w:szCs w:val="32"/>
        </w:rPr>
        <w:t>份，自双方签章之日起起效。甲方</w:t>
      </w:r>
      <w:r>
        <w:rPr>
          <w:rFonts w:hint="eastAsia" w:ascii="仿宋" w:hAnsi="仿宋" w:eastAsia="仿宋" w:cs="仿宋"/>
          <w:sz w:val="32"/>
          <w:szCs w:val="32"/>
          <w:u w:val="single"/>
        </w:rPr>
        <w:t xml:space="preserve"> 3 </w:t>
      </w:r>
      <w:r>
        <w:rPr>
          <w:rFonts w:hint="eastAsia" w:ascii="仿宋" w:hAnsi="仿宋" w:eastAsia="仿宋" w:cs="仿宋"/>
          <w:sz w:val="32"/>
          <w:szCs w:val="32"/>
        </w:rPr>
        <w:t>份，乙方</w:t>
      </w:r>
      <w:r>
        <w:rPr>
          <w:rFonts w:hint="eastAsia" w:ascii="仿宋" w:hAnsi="仿宋" w:eastAsia="仿宋" w:cs="仿宋"/>
          <w:sz w:val="32"/>
          <w:szCs w:val="32"/>
          <w:u w:val="single"/>
        </w:rPr>
        <w:t xml:space="preserve"> 1 </w:t>
      </w:r>
      <w:r>
        <w:rPr>
          <w:rFonts w:hint="eastAsia" w:ascii="仿宋" w:hAnsi="仿宋" w:eastAsia="仿宋" w:cs="仿宋"/>
          <w:sz w:val="32"/>
          <w:szCs w:val="32"/>
        </w:rPr>
        <w:t>份，政府采购代理机构</w:t>
      </w:r>
      <w:r>
        <w:rPr>
          <w:rFonts w:hint="eastAsia" w:ascii="仿宋" w:hAnsi="仿宋" w:eastAsia="仿宋" w:cs="仿宋"/>
          <w:sz w:val="32"/>
          <w:szCs w:val="32"/>
          <w:u w:val="single"/>
        </w:rPr>
        <w:t xml:space="preserve"> 1 </w:t>
      </w:r>
      <w:r>
        <w:rPr>
          <w:rFonts w:hint="eastAsia" w:ascii="仿宋" w:hAnsi="仿宋" w:eastAsia="仿宋" w:cs="仿宋"/>
          <w:sz w:val="32"/>
          <w:szCs w:val="32"/>
        </w:rPr>
        <w:t>份，同级财政部门备案</w:t>
      </w:r>
      <w:r>
        <w:rPr>
          <w:rFonts w:hint="eastAsia" w:ascii="仿宋" w:hAnsi="仿宋" w:eastAsia="仿宋" w:cs="仿宋"/>
          <w:sz w:val="32"/>
          <w:szCs w:val="32"/>
          <w:u w:val="single"/>
        </w:rPr>
        <w:t xml:space="preserve"> 1 </w:t>
      </w:r>
      <w:r>
        <w:rPr>
          <w:rFonts w:hint="eastAsia" w:ascii="仿宋" w:hAnsi="仿宋" w:eastAsia="仿宋" w:cs="仿宋"/>
          <w:sz w:val="32"/>
          <w:szCs w:val="32"/>
        </w:rPr>
        <w:t>份，</w:t>
      </w:r>
      <w:r>
        <w:rPr>
          <w:rFonts w:hint="eastAsia" w:ascii="仿宋" w:hAnsi="仿宋" w:eastAsia="仿宋" w:cs="仿宋"/>
          <w:color w:val="auto"/>
          <w:sz w:val="32"/>
          <w:szCs w:val="32"/>
        </w:rPr>
        <w:t>具有同等法律效力。</w:t>
      </w:r>
    </w:p>
    <w:p w14:paraId="3D498E4A">
      <w:pPr>
        <w:keepNext w:val="0"/>
        <w:keepLines w:val="0"/>
        <w:pageBreakBefore w:val="0"/>
        <w:widowControl/>
        <w:numPr>
          <w:ilvl w:val="0"/>
          <w:numId w:val="0"/>
        </w:numPr>
        <w:kinsoku/>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color w:val="auto"/>
          <w:sz w:val="32"/>
          <w:szCs w:val="32"/>
          <w:lang w:eastAsia="zh-CN"/>
        </w:rPr>
      </w:pPr>
      <w:r>
        <w:rPr>
          <w:rFonts w:hint="eastAsia" w:ascii="仿宋" w:hAnsi="仿宋" w:eastAsia="仿宋" w:cs="仿宋"/>
          <w:color w:val="auto"/>
          <w:sz w:val="32"/>
          <w:szCs w:val="32"/>
        </w:rPr>
        <w:t>附件：</w:t>
      </w:r>
    </w:p>
    <w:p w14:paraId="25614C37">
      <w:pPr>
        <w:keepNext w:val="0"/>
        <w:keepLines w:val="0"/>
        <w:pageBreakBefore w:val="0"/>
        <w:widowControl/>
        <w:numPr>
          <w:ilvl w:val="0"/>
          <w:numId w:val="0"/>
        </w:numPr>
        <w:kinsoku/>
        <w:overflowPunct/>
        <w:topLinePunct w:val="0"/>
        <w:autoSpaceDE/>
        <w:autoSpaceDN/>
        <w:bidi w:val="0"/>
        <w:adjustRightInd w:val="0"/>
        <w:snapToGrid w:val="0"/>
        <w:spacing w:line="560" w:lineRule="exact"/>
        <w:ind w:left="0" w:leftChars="0" w:firstLine="480" w:firstLineChars="150"/>
        <w:textAlignment w:val="auto"/>
        <w:rPr>
          <w:rFonts w:hint="eastAsia" w:ascii="仿宋" w:hAnsi="仿宋" w:eastAsia="仿宋" w:cs="仿宋"/>
          <w:color w:val="auto"/>
          <w:sz w:val="32"/>
          <w:szCs w:val="32"/>
          <w:shd w:val="clear" w:color="auto" w:fill="FFFFFF"/>
          <w:lang w:eastAsia="zh-CN"/>
        </w:rPr>
      </w:pPr>
      <w:r>
        <w:rPr>
          <w:rFonts w:hint="eastAsia" w:ascii="仿宋" w:hAnsi="仿宋" w:eastAsia="仿宋" w:cs="仿宋"/>
          <w:color w:val="auto"/>
          <w:sz w:val="32"/>
          <w:szCs w:val="32"/>
        </w:rPr>
        <w:t>1、</w:t>
      </w:r>
      <w:r>
        <w:rPr>
          <w:rFonts w:hint="eastAsia" w:ascii="仿宋" w:hAnsi="仿宋" w:eastAsia="仿宋" w:cs="仿宋"/>
          <w:b w:val="0"/>
          <w:bCs w:val="0"/>
          <w:color w:val="auto"/>
          <w:sz w:val="32"/>
          <w:szCs w:val="32"/>
          <w:u w:val="none"/>
          <w:shd w:val="clear" w:color="auto" w:fill="FFFFFF"/>
          <w:lang w:eastAsia="zh-CN"/>
        </w:rPr>
        <w:t>202</w:t>
      </w:r>
      <w:r>
        <w:rPr>
          <w:rFonts w:hint="eastAsia" w:ascii="仿宋" w:hAnsi="仿宋" w:eastAsia="仿宋" w:cs="仿宋"/>
          <w:b w:val="0"/>
          <w:bCs w:val="0"/>
          <w:color w:val="auto"/>
          <w:sz w:val="32"/>
          <w:szCs w:val="32"/>
          <w:u w:val="none"/>
          <w:shd w:val="clear" w:color="auto" w:fill="FFFFFF"/>
          <w:lang w:val="en-US" w:eastAsia="zh-CN"/>
        </w:rPr>
        <w:t>5-2026年度雁塔区南三环市场化养护清单</w:t>
      </w:r>
      <w:r>
        <w:rPr>
          <w:rFonts w:hint="eastAsia" w:ascii="仿宋" w:hAnsi="仿宋" w:eastAsia="仿宋" w:cs="仿宋"/>
          <w:b w:val="0"/>
          <w:bCs w:val="0"/>
          <w:color w:val="auto"/>
          <w:sz w:val="32"/>
          <w:szCs w:val="32"/>
          <w:u w:val="none"/>
          <w:shd w:val="clear" w:color="auto" w:fill="FFFFFF"/>
          <w:lang w:eastAsia="zh-CN"/>
        </w:rPr>
        <w:t>（</w:t>
      </w:r>
      <w:r>
        <w:rPr>
          <w:rFonts w:hint="eastAsia" w:ascii="仿宋" w:hAnsi="仿宋" w:eastAsia="仿宋" w:cs="仿宋"/>
          <w:b w:val="0"/>
          <w:bCs w:val="0"/>
          <w:color w:val="auto"/>
          <w:sz w:val="32"/>
          <w:szCs w:val="32"/>
          <w:u w:val="none"/>
          <w:shd w:val="clear" w:color="auto" w:fill="FFFFFF"/>
          <w:lang w:val="en-US" w:eastAsia="zh-CN"/>
        </w:rPr>
        <w:t>南三环</w:t>
      </w:r>
      <w:r>
        <w:rPr>
          <w:rFonts w:hint="eastAsia" w:ascii="仿宋" w:hAnsi="仿宋" w:eastAsia="仿宋" w:cs="仿宋"/>
          <w:b w:val="0"/>
          <w:bCs w:val="0"/>
          <w:color w:val="auto"/>
          <w:sz w:val="32"/>
          <w:szCs w:val="32"/>
          <w:u w:val="none"/>
          <w:shd w:val="clear" w:color="auto" w:fill="FFFFFF"/>
          <w:lang w:eastAsia="zh-CN"/>
        </w:rPr>
        <w:t>第</w:t>
      </w:r>
      <w:r>
        <w:rPr>
          <w:rFonts w:hint="eastAsia" w:ascii="仿宋" w:hAnsi="仿宋" w:eastAsia="仿宋" w:cs="仿宋"/>
          <w:b w:val="0"/>
          <w:bCs w:val="0"/>
          <w:color w:val="auto"/>
          <w:sz w:val="32"/>
          <w:szCs w:val="32"/>
          <w:u w:val="single"/>
          <w:shd w:val="clear" w:color="auto" w:fill="FFFFFF"/>
          <w:lang w:val="en-US" w:eastAsia="zh-CN"/>
        </w:rPr>
        <w:t xml:space="preserve">  </w:t>
      </w:r>
      <w:r>
        <w:rPr>
          <w:rFonts w:hint="eastAsia" w:ascii="仿宋" w:hAnsi="仿宋" w:eastAsia="仿宋" w:cs="仿宋"/>
          <w:b w:val="0"/>
          <w:bCs w:val="0"/>
          <w:color w:val="auto"/>
          <w:sz w:val="32"/>
          <w:szCs w:val="32"/>
          <w:u w:val="none"/>
          <w:shd w:val="clear" w:color="auto" w:fill="FFFFFF"/>
          <w:lang w:eastAsia="zh-CN"/>
        </w:rPr>
        <w:t>包）</w:t>
      </w:r>
    </w:p>
    <w:p w14:paraId="30CFAFCA">
      <w:pPr>
        <w:keepNext w:val="0"/>
        <w:keepLines w:val="0"/>
        <w:pageBreakBefore w:val="0"/>
        <w:widowControl/>
        <w:numPr>
          <w:ilvl w:val="0"/>
          <w:numId w:val="0"/>
        </w:numPr>
        <w:kinsoku/>
        <w:overflowPunct/>
        <w:topLinePunct w:val="0"/>
        <w:autoSpaceDE/>
        <w:autoSpaceDN/>
        <w:bidi w:val="0"/>
        <w:adjustRightInd w:val="0"/>
        <w:snapToGrid w:val="0"/>
        <w:spacing w:line="560" w:lineRule="exact"/>
        <w:ind w:left="0" w:leftChars="0" w:firstLine="480" w:firstLineChars="150"/>
        <w:textAlignment w:val="auto"/>
        <w:rPr>
          <w:rFonts w:hint="eastAsia" w:ascii="仿宋" w:hAnsi="仿宋" w:eastAsia="仿宋" w:cs="仿宋"/>
          <w:color w:val="auto"/>
          <w:sz w:val="32"/>
          <w:szCs w:val="32"/>
          <w:shd w:val="clear" w:color="auto" w:fill="FFFFFF"/>
          <w:lang w:val="en-US" w:eastAsia="zh-CN"/>
        </w:rPr>
      </w:pPr>
      <w:r>
        <w:rPr>
          <w:rFonts w:hint="eastAsia" w:ascii="仿宋" w:hAnsi="仿宋" w:eastAsia="仿宋" w:cs="仿宋"/>
          <w:color w:val="auto"/>
          <w:sz w:val="32"/>
          <w:szCs w:val="32"/>
          <w:shd w:val="clear" w:fill="FFFFFF"/>
          <w:lang w:val="en-US" w:eastAsia="zh-CN" w:bidi="ar-SA"/>
        </w:rPr>
        <w:t>2、</w:t>
      </w:r>
      <w:r>
        <w:rPr>
          <w:rFonts w:hint="eastAsia" w:ascii="仿宋" w:hAnsi="仿宋" w:eastAsia="仿宋" w:cs="仿宋"/>
          <w:color w:val="auto"/>
          <w:sz w:val="32"/>
          <w:szCs w:val="32"/>
          <w:shd w:val="clear" w:color="auto" w:fill="FFFFFF"/>
          <w:lang w:val="en-US" w:eastAsia="zh-CN"/>
        </w:rPr>
        <w:t>《西安市地方标准 园林绿化养护技术规范（征求意见稿）》</w:t>
      </w:r>
    </w:p>
    <w:p w14:paraId="274BA298">
      <w:pPr>
        <w:keepNext w:val="0"/>
        <w:keepLines w:val="0"/>
        <w:pageBreakBefore w:val="0"/>
        <w:widowControl/>
        <w:numPr>
          <w:ilvl w:val="0"/>
          <w:numId w:val="0"/>
        </w:numPr>
        <w:kinsoku/>
        <w:overflowPunct/>
        <w:topLinePunct w:val="0"/>
        <w:autoSpaceDE/>
        <w:autoSpaceDN/>
        <w:bidi w:val="0"/>
        <w:adjustRightInd w:val="0"/>
        <w:snapToGrid w:val="0"/>
        <w:spacing w:line="560" w:lineRule="exact"/>
        <w:ind w:left="0" w:leftChars="0" w:firstLine="480" w:firstLineChars="15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3、</w:t>
      </w:r>
      <w:r>
        <w:rPr>
          <w:rFonts w:hint="eastAsia" w:ascii="仿宋" w:hAnsi="仿宋" w:eastAsia="仿宋" w:cs="仿宋"/>
          <w:color w:val="auto"/>
          <w:sz w:val="32"/>
          <w:szCs w:val="32"/>
          <w:lang w:val="en-US" w:eastAsia="zh-CN"/>
        </w:rPr>
        <w:t>雁塔区园林</w:t>
      </w:r>
      <w:r>
        <w:rPr>
          <w:rFonts w:hint="eastAsia" w:ascii="仿宋" w:hAnsi="仿宋" w:eastAsia="仿宋" w:cs="仿宋"/>
          <w:color w:val="auto"/>
          <w:sz w:val="32"/>
          <w:szCs w:val="32"/>
        </w:rPr>
        <w:t>绿化养护</w:t>
      </w:r>
      <w:r>
        <w:rPr>
          <w:rFonts w:hint="eastAsia" w:ascii="仿宋" w:hAnsi="仿宋" w:eastAsia="仿宋" w:cs="仿宋"/>
          <w:color w:val="auto"/>
          <w:sz w:val="32"/>
          <w:szCs w:val="32"/>
          <w:lang w:val="en-US" w:eastAsia="zh-CN"/>
        </w:rPr>
        <w:t>管理月</w:t>
      </w:r>
      <w:r>
        <w:rPr>
          <w:rFonts w:hint="eastAsia" w:ascii="仿宋" w:hAnsi="仿宋" w:eastAsia="仿宋" w:cs="仿宋"/>
          <w:color w:val="auto"/>
          <w:sz w:val="32"/>
          <w:szCs w:val="32"/>
        </w:rPr>
        <w:t>评分表</w:t>
      </w:r>
    </w:p>
    <w:p w14:paraId="683F905F">
      <w:pPr>
        <w:pStyle w:val="3"/>
        <w:keepNext w:val="0"/>
        <w:keepLines w:val="0"/>
        <w:pageBreakBefore w:val="0"/>
        <w:kinsoku/>
        <w:overflowPunct/>
        <w:topLinePunct w:val="0"/>
        <w:autoSpaceDE/>
        <w:autoSpaceDN/>
        <w:bidi w:val="0"/>
        <w:spacing w:line="560" w:lineRule="exact"/>
        <w:textAlignment w:val="auto"/>
        <w:rPr>
          <w:rFonts w:hint="eastAsia" w:ascii="仿宋" w:hAnsi="仿宋" w:eastAsia="仿宋" w:cs="仿宋"/>
        </w:rPr>
      </w:pPr>
    </w:p>
    <w:p w14:paraId="2A6FEF35">
      <w:pPr>
        <w:rPr>
          <w:rFonts w:hint="eastAsia" w:ascii="仿宋" w:hAnsi="仿宋" w:eastAsia="仿宋" w:cs="仿宋"/>
        </w:rPr>
      </w:pPr>
    </w:p>
    <w:p w14:paraId="5945586E">
      <w:pPr>
        <w:keepNext w:val="0"/>
        <w:keepLines w:val="0"/>
        <w:pageBreakBefore w:val="0"/>
        <w:widowControl/>
        <w:kinsoku/>
        <w:overflowPunct/>
        <w:topLinePunct w:val="0"/>
        <w:autoSpaceDE/>
        <w:autoSpaceDN/>
        <w:bidi w:val="0"/>
        <w:adjustRightInd/>
        <w:snapToGrid/>
        <w:spacing w:line="240" w:lineRule="auto"/>
        <w:textAlignment w:val="auto"/>
        <w:rPr>
          <w:rFonts w:hint="eastAsia" w:ascii="仿宋" w:hAnsi="仿宋" w:eastAsia="仿宋" w:cs="仿宋"/>
          <w:sz w:val="30"/>
          <w:szCs w:val="30"/>
        </w:rPr>
      </w:pPr>
      <w:r>
        <w:rPr>
          <w:rFonts w:hint="eastAsia" w:ascii="仿宋" w:hAnsi="仿宋" w:eastAsia="仿宋" w:cs="仿宋"/>
          <w:sz w:val="30"/>
          <w:szCs w:val="30"/>
        </w:rPr>
        <w:t xml:space="preserve">甲方：   （盖章） </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 xml:space="preserve">  乙方：   （盖章）</w:t>
      </w:r>
    </w:p>
    <w:p w14:paraId="44CED9BF">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rPr>
      </w:pPr>
      <w:r>
        <w:rPr>
          <w:rFonts w:hint="eastAsia" w:ascii="仿宋" w:hAnsi="仿宋" w:eastAsia="仿宋" w:cs="仿宋"/>
          <w:sz w:val="30"/>
          <w:szCs w:val="30"/>
        </w:rPr>
        <w:t>法定代表人（授权代表）：      法定代表人（授权代表）：</w:t>
      </w:r>
    </w:p>
    <w:p w14:paraId="23EEE079">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lang w:val="en-US" w:eastAsia="zh-CN"/>
        </w:rPr>
      </w:pPr>
      <w:r>
        <w:rPr>
          <w:rFonts w:hint="eastAsia" w:ascii="仿宋" w:hAnsi="仿宋" w:eastAsia="仿宋" w:cs="仿宋"/>
          <w:sz w:val="30"/>
          <w:szCs w:val="30"/>
        </w:rPr>
        <w:t>地    址：</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 xml:space="preserve">    地    址：</w:t>
      </w:r>
      <w:r>
        <w:rPr>
          <w:rFonts w:hint="eastAsia" w:ascii="仿宋" w:hAnsi="仿宋" w:eastAsia="仿宋" w:cs="仿宋"/>
          <w:sz w:val="30"/>
          <w:szCs w:val="30"/>
          <w:lang w:val="en-US" w:eastAsia="zh-CN"/>
        </w:rPr>
        <w:t xml:space="preserve">                 </w:t>
      </w:r>
    </w:p>
    <w:p w14:paraId="3087FEA5">
      <w:pPr>
        <w:pStyle w:val="2"/>
        <w:ind w:firstLine="0" w:firstLineChars="0"/>
        <w:rPr>
          <w:rFonts w:hint="eastAsia" w:ascii="仿宋" w:hAnsi="仿宋" w:eastAsia="仿宋" w:cs="仿宋"/>
        </w:rPr>
      </w:pPr>
      <w:r>
        <w:rPr>
          <w:rFonts w:hint="eastAsia" w:ascii="仿宋" w:hAnsi="仿宋" w:eastAsia="仿宋" w:cs="仿宋"/>
          <w:sz w:val="30"/>
          <w:szCs w:val="30"/>
        </w:rPr>
        <w:t>开户银行：</w:t>
      </w:r>
      <w:r>
        <w:rPr>
          <w:rFonts w:hint="eastAsia" w:ascii="仿宋" w:hAnsi="仿宋" w:eastAsia="仿宋" w:cs="仿宋"/>
          <w:sz w:val="30"/>
          <w:szCs w:val="30"/>
          <w:lang w:val="en-US" w:eastAsia="zh-CN"/>
        </w:rPr>
        <w:t xml:space="preserve">  </w:t>
      </w:r>
      <w:r>
        <w:rPr>
          <w:rFonts w:hint="eastAsia" w:ascii="仿宋" w:hAnsi="仿宋" w:eastAsia="仿宋" w:cs="仿宋"/>
          <w:color w:val="auto"/>
          <w:kern w:val="0"/>
          <w:sz w:val="30"/>
          <w:szCs w:val="30"/>
          <w:highlight w:val="none"/>
          <w:u w:val="none"/>
          <w:lang w:val="en-US" w:eastAsia="zh-CN" w:bidi="ar"/>
        </w:rPr>
        <w:t xml:space="preserve">              </w:t>
      </w:r>
      <w:r>
        <w:rPr>
          <w:rFonts w:hint="eastAsia" w:ascii="仿宋" w:hAnsi="仿宋" w:eastAsia="仿宋" w:cs="仿宋"/>
          <w:sz w:val="30"/>
          <w:szCs w:val="30"/>
        </w:rPr>
        <w:t xml:space="preserve">    开户银行：</w:t>
      </w:r>
      <w:r>
        <w:rPr>
          <w:rFonts w:hint="eastAsia" w:ascii="仿宋" w:hAnsi="仿宋" w:eastAsia="仿宋" w:cs="仿宋"/>
          <w:sz w:val="30"/>
          <w:szCs w:val="30"/>
          <w:lang w:val="en-US" w:eastAsia="zh-CN"/>
        </w:rPr>
        <w:t xml:space="preserve">             </w:t>
      </w:r>
      <w:r>
        <w:rPr>
          <w:rFonts w:hint="eastAsia" w:ascii="仿宋" w:hAnsi="仿宋" w:eastAsia="仿宋" w:cs="仿宋"/>
          <w:color w:val="auto"/>
          <w:sz w:val="30"/>
          <w:szCs w:val="30"/>
          <w:highlight w:val="none"/>
          <w:u w:val="none"/>
          <w:lang w:val="en-US" w:eastAsia="zh-CN"/>
        </w:rPr>
        <w:t xml:space="preserve">                                                          </w:t>
      </w:r>
    </w:p>
    <w:p w14:paraId="671CD7F5">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lang w:val="en-US" w:eastAsia="zh-CN"/>
        </w:rPr>
      </w:pPr>
      <w:r>
        <w:rPr>
          <w:rFonts w:hint="eastAsia" w:ascii="仿宋" w:hAnsi="仿宋" w:eastAsia="仿宋" w:cs="仿宋"/>
          <w:sz w:val="30"/>
          <w:szCs w:val="30"/>
        </w:rPr>
        <w:t>账</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号：</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账</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号：</w:t>
      </w:r>
      <w:r>
        <w:rPr>
          <w:rFonts w:hint="eastAsia" w:ascii="仿宋" w:hAnsi="仿宋" w:eastAsia="仿宋" w:cs="仿宋"/>
          <w:sz w:val="30"/>
          <w:szCs w:val="30"/>
          <w:lang w:val="en-US" w:eastAsia="zh-CN"/>
        </w:rPr>
        <w:t xml:space="preserve">                  </w:t>
      </w:r>
    </w:p>
    <w:p w14:paraId="67C105EF">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rPr>
      </w:pPr>
      <w:r>
        <w:rPr>
          <w:rFonts w:hint="eastAsia" w:ascii="仿宋" w:hAnsi="仿宋" w:eastAsia="仿宋" w:cs="仿宋"/>
          <w:sz w:val="30"/>
          <w:szCs w:val="30"/>
        </w:rPr>
        <w:t>电    话：</w:t>
      </w:r>
      <w:r>
        <w:rPr>
          <w:rFonts w:hint="eastAsia" w:ascii="仿宋" w:hAnsi="仿宋" w:eastAsia="仿宋" w:cs="仿宋"/>
          <w:sz w:val="30"/>
          <w:szCs w:val="30"/>
          <w:lang w:val="en-US" w:eastAsia="zh-CN"/>
        </w:rPr>
        <w:t xml:space="preserve">               </w:t>
      </w:r>
      <w:r>
        <w:rPr>
          <w:rFonts w:hint="eastAsia" w:ascii="仿宋" w:hAnsi="仿宋" w:eastAsia="仿宋" w:cs="仿宋"/>
          <w:color w:val="auto"/>
          <w:kern w:val="0"/>
          <w:sz w:val="30"/>
          <w:szCs w:val="30"/>
          <w:highlight w:val="none"/>
          <w:u w:val="none"/>
          <w:lang w:val="en-US" w:eastAsia="zh-CN" w:bidi="ar"/>
        </w:rPr>
        <w:t xml:space="preserve"> </w:t>
      </w:r>
      <w:r>
        <w:rPr>
          <w:rFonts w:hint="eastAsia" w:ascii="仿宋" w:hAnsi="仿宋" w:eastAsia="仿宋" w:cs="仿宋"/>
          <w:sz w:val="30"/>
          <w:szCs w:val="30"/>
        </w:rPr>
        <w:t xml:space="preserve">    电    话：</w:t>
      </w:r>
    </w:p>
    <w:p w14:paraId="13E5D269">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rPr>
      </w:pPr>
      <w:r>
        <w:rPr>
          <w:rFonts w:hint="eastAsia" w:ascii="仿宋" w:hAnsi="仿宋" w:eastAsia="仿宋" w:cs="仿宋"/>
          <w:sz w:val="30"/>
          <w:szCs w:val="30"/>
        </w:rPr>
        <w:t>传    真：                    传    真：</w:t>
      </w:r>
    </w:p>
    <w:p w14:paraId="25C698F6">
      <w:pPr>
        <w:keepNext w:val="0"/>
        <w:keepLines w:val="0"/>
        <w:pageBreakBefore w:val="0"/>
        <w:widowControl/>
        <w:kinsoku/>
        <w:overflowPunct/>
        <w:topLinePunct w:val="0"/>
        <w:autoSpaceDE/>
        <w:autoSpaceDN/>
        <w:bidi w:val="0"/>
        <w:adjustRightInd w:val="0"/>
        <w:snapToGrid w:val="0"/>
        <w:spacing w:line="560" w:lineRule="exact"/>
        <w:textAlignment w:val="auto"/>
        <w:rPr>
          <w:rFonts w:hint="eastAsia" w:ascii="仿宋" w:hAnsi="仿宋" w:eastAsia="仿宋" w:cs="仿宋"/>
          <w:sz w:val="30"/>
          <w:szCs w:val="30"/>
        </w:rPr>
      </w:pPr>
      <w:r>
        <w:rPr>
          <w:rFonts w:hint="eastAsia" w:ascii="仿宋" w:hAnsi="仿宋" w:eastAsia="仿宋" w:cs="仿宋"/>
          <w:sz w:val="30"/>
          <w:szCs w:val="30"/>
        </w:rPr>
        <w:t>签约日期：</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年</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月</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日</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 xml:space="preserve"> 签约日期：</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年</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月</w:t>
      </w: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日</w:t>
      </w:r>
    </w:p>
    <w:p w14:paraId="4BE654DD">
      <w:pPr>
        <w:keepNext w:val="0"/>
        <w:keepLines w:val="0"/>
        <w:pageBreakBefore w:val="0"/>
        <w:widowControl/>
        <w:kinsoku/>
        <w:overflowPunct/>
        <w:topLinePunct w:val="0"/>
        <w:autoSpaceDE/>
        <w:autoSpaceDN/>
        <w:bidi w:val="0"/>
        <w:adjustRightInd/>
        <w:snapToGrid/>
        <w:spacing w:line="240" w:lineRule="auto"/>
        <w:textAlignment w:val="auto"/>
        <w:rPr>
          <w:rFonts w:hint="eastAsia" w:ascii="仿宋" w:hAnsi="仿宋" w:eastAsia="仿宋" w:cs="仿宋"/>
          <w:sz w:val="30"/>
          <w:szCs w:val="30"/>
        </w:rPr>
      </w:pPr>
      <w:r>
        <w:rPr>
          <w:rFonts w:hint="eastAsia" w:ascii="仿宋" w:hAnsi="仿宋" w:eastAsia="仿宋" w:cs="仿宋"/>
          <w:sz w:val="30"/>
          <w:szCs w:val="30"/>
        </w:rPr>
        <w:br w:type="page"/>
      </w:r>
    </w:p>
    <w:p w14:paraId="4F88677A">
      <w:pPr>
        <w:keepNext w:val="0"/>
        <w:keepLines w:val="0"/>
        <w:pageBreakBefore w:val="0"/>
        <w:widowControl/>
        <w:kinsoku/>
        <w:overflowPunct/>
        <w:topLinePunct w:val="0"/>
        <w:autoSpaceDE/>
        <w:autoSpaceDN/>
        <w:bidi w:val="0"/>
        <w:adjustRightInd w:val="0"/>
        <w:snapToGrid w:val="0"/>
        <w:spacing w:line="560" w:lineRule="exact"/>
        <w:ind w:firstLine="462" w:firstLineChars="200"/>
        <w:textAlignment w:val="auto"/>
        <w:outlineLvl w:val="1"/>
        <w:rPr>
          <w:rFonts w:hint="eastAsia" w:ascii="仿宋" w:hAnsi="仿宋" w:eastAsia="仿宋" w:cs="仿宋"/>
          <w:b/>
          <w:bCs w:val="0"/>
          <w:color w:val="auto"/>
          <w:sz w:val="23"/>
          <w:szCs w:val="23"/>
          <w:highlight w:val="none"/>
          <w:lang w:val="en-US" w:eastAsia="zh-CN"/>
        </w:rPr>
      </w:pPr>
      <w:r>
        <w:rPr>
          <w:rFonts w:hint="eastAsia" w:ascii="仿宋" w:hAnsi="仿宋" w:eastAsia="仿宋" w:cs="仿宋"/>
          <w:b/>
          <w:bCs w:val="0"/>
          <w:color w:val="auto"/>
          <w:sz w:val="23"/>
          <w:szCs w:val="23"/>
          <w:highlight w:val="none"/>
          <w:lang w:val="en-US" w:eastAsia="zh-CN"/>
        </w:rPr>
        <w:t>附件1：</w:t>
      </w:r>
    </w:p>
    <w:p w14:paraId="6C7C91FF">
      <w:pPr>
        <w:pStyle w:val="2"/>
        <w:jc w:val="cente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2025-2026年度雁塔区南三环市场化养护</w:t>
      </w:r>
      <w:r>
        <w:rPr>
          <w:rFonts w:hint="eastAsia" w:ascii="仿宋" w:hAnsi="仿宋" w:eastAsia="仿宋" w:cs="仿宋"/>
          <w:sz w:val="24"/>
          <w:szCs w:val="24"/>
          <w:highlight w:val="none"/>
          <w:lang w:val="en-US" w:eastAsia="zh-CN"/>
        </w:rPr>
        <w:t>清单</w:t>
      </w:r>
    </w:p>
    <w:p w14:paraId="40D29589">
      <w:pPr>
        <w:pStyle w:val="2"/>
        <w:rPr>
          <w:rFonts w:hint="eastAsia" w:ascii="仿宋" w:hAnsi="仿宋" w:eastAsia="仿宋" w:cs="仿宋"/>
          <w:highlight w:val="green"/>
        </w:rPr>
      </w:pPr>
    </w:p>
    <w:p w14:paraId="5CDB221F">
      <w:pPr>
        <w:pStyle w:val="2"/>
        <w:rPr>
          <w:rFonts w:hint="eastAsia" w:ascii="仿宋" w:hAnsi="仿宋" w:eastAsia="仿宋" w:cs="仿宋"/>
          <w:highlight w:val="green"/>
        </w:rPr>
      </w:pPr>
    </w:p>
    <w:tbl>
      <w:tblPr>
        <w:tblStyle w:val="10"/>
        <w:tblW w:w="8059" w:type="dxa"/>
        <w:tblInd w:w="46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02"/>
        <w:gridCol w:w="4310"/>
        <w:gridCol w:w="1947"/>
      </w:tblGrid>
      <w:tr w14:paraId="14AF2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1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82E10">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标段</w:t>
            </w:r>
          </w:p>
        </w:tc>
        <w:tc>
          <w:tcPr>
            <w:tcW w:w="43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72C6B">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区域</w:t>
            </w:r>
          </w:p>
        </w:tc>
        <w:tc>
          <w:tcPr>
            <w:tcW w:w="1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78F3C">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面积（㎡）</w:t>
            </w:r>
          </w:p>
        </w:tc>
      </w:tr>
      <w:tr w14:paraId="1330C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0" w:hRule="atLeast"/>
        </w:trPr>
        <w:tc>
          <w:tcPr>
            <w:tcW w:w="18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DFD7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南三环一包</w:t>
            </w:r>
          </w:p>
        </w:tc>
        <w:tc>
          <w:tcPr>
            <w:tcW w:w="43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13ED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南三环南侧（朱雀大街-东仪路）；南三环北侧（长安路以东雁塔界-东仪路）含绕城高速长安路出入口绿地</w:t>
            </w:r>
          </w:p>
        </w:tc>
        <w:tc>
          <w:tcPr>
            <w:tcW w:w="1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08AE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96084</w:t>
            </w:r>
          </w:p>
        </w:tc>
      </w:tr>
      <w:tr w14:paraId="71214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1" w:hRule="atLeast"/>
        </w:trPr>
        <w:tc>
          <w:tcPr>
            <w:tcW w:w="18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94A3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南三环二包</w:t>
            </w:r>
          </w:p>
        </w:tc>
        <w:tc>
          <w:tcPr>
            <w:tcW w:w="43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E2CC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南三环南侧（东仪路-电子正街），南三环北侧（东仪路-子午大道）</w:t>
            </w:r>
          </w:p>
        </w:tc>
        <w:tc>
          <w:tcPr>
            <w:tcW w:w="1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BC72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107002</w:t>
            </w:r>
          </w:p>
        </w:tc>
      </w:tr>
      <w:tr w14:paraId="2405C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4" w:hRule="atLeast"/>
        </w:trPr>
        <w:tc>
          <w:tcPr>
            <w:tcW w:w="18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F0EE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南三环三包</w:t>
            </w:r>
          </w:p>
        </w:tc>
        <w:tc>
          <w:tcPr>
            <w:tcW w:w="43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3207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南三环南侧（电子正街-子午大道），南三环北侧（子午大道-西沣路）</w:t>
            </w:r>
          </w:p>
        </w:tc>
        <w:tc>
          <w:tcPr>
            <w:tcW w:w="1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7A93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93426</w:t>
            </w:r>
          </w:p>
        </w:tc>
      </w:tr>
      <w:tr w14:paraId="022F5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4" w:hRule="atLeast"/>
        </w:trPr>
        <w:tc>
          <w:tcPr>
            <w:tcW w:w="1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9CC4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合计</w:t>
            </w:r>
          </w:p>
        </w:tc>
        <w:tc>
          <w:tcPr>
            <w:tcW w:w="43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9B975">
            <w:pPr>
              <w:jc w:val="center"/>
              <w:rPr>
                <w:rFonts w:hint="eastAsia" w:ascii="仿宋" w:hAnsi="仿宋" w:eastAsia="仿宋" w:cs="仿宋"/>
                <w:i w:val="0"/>
                <w:iCs w:val="0"/>
                <w:color w:val="000000"/>
                <w:sz w:val="22"/>
                <w:szCs w:val="22"/>
                <w:u w:val="none"/>
              </w:rPr>
            </w:pPr>
          </w:p>
        </w:tc>
        <w:tc>
          <w:tcPr>
            <w:tcW w:w="1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3D4A7">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296512</w:t>
            </w:r>
          </w:p>
        </w:tc>
      </w:tr>
    </w:tbl>
    <w:p w14:paraId="7B95C8DD">
      <w:pPr>
        <w:pStyle w:val="2"/>
        <w:rPr>
          <w:rFonts w:hint="eastAsia" w:ascii="仿宋" w:hAnsi="仿宋" w:eastAsia="仿宋" w:cs="仿宋"/>
          <w:highlight w:val="green"/>
        </w:rPr>
      </w:pPr>
    </w:p>
    <w:p w14:paraId="124D8896">
      <w:pPr>
        <w:rPr>
          <w:rFonts w:hint="eastAsia" w:ascii="仿宋" w:hAnsi="仿宋" w:eastAsia="仿宋" w:cs="仿宋"/>
          <w:b/>
          <w:bCs w:val="0"/>
          <w:color w:val="auto"/>
          <w:sz w:val="23"/>
          <w:szCs w:val="23"/>
          <w:lang w:val="en-US" w:eastAsia="zh-CN"/>
        </w:rPr>
      </w:pPr>
    </w:p>
    <w:p w14:paraId="71303DB6">
      <w:pPr>
        <w:rPr>
          <w:rFonts w:hint="eastAsia" w:ascii="仿宋" w:hAnsi="仿宋" w:eastAsia="仿宋" w:cs="仿宋"/>
        </w:rPr>
      </w:pPr>
      <w:r>
        <w:rPr>
          <w:rFonts w:hint="eastAsia" w:ascii="仿宋" w:hAnsi="仿宋" w:eastAsia="仿宋" w:cs="仿宋"/>
        </w:rPr>
        <w:br w:type="page"/>
      </w:r>
    </w:p>
    <w:p w14:paraId="198B47AC">
      <w:pPr>
        <w:keepNext w:val="0"/>
        <w:keepLines w:val="0"/>
        <w:pageBreakBefore w:val="0"/>
        <w:widowControl/>
        <w:kinsoku/>
        <w:overflowPunct/>
        <w:topLinePunct w:val="0"/>
        <w:autoSpaceDE/>
        <w:autoSpaceDN/>
        <w:bidi w:val="0"/>
        <w:adjustRightInd w:val="0"/>
        <w:snapToGrid w:val="0"/>
        <w:spacing w:line="560" w:lineRule="exact"/>
        <w:ind w:firstLine="462" w:firstLineChars="200"/>
        <w:textAlignment w:val="auto"/>
        <w:outlineLvl w:val="1"/>
        <w:rPr>
          <w:rFonts w:hint="eastAsia" w:ascii="仿宋_GB2312" w:hAnsi="黑体" w:eastAsia="仿宋_GB2312" w:cs="宋体"/>
          <w:b/>
          <w:bCs w:val="0"/>
          <w:color w:val="auto"/>
          <w:sz w:val="23"/>
          <w:szCs w:val="23"/>
          <w:lang w:val="en-US" w:eastAsia="zh-CN"/>
        </w:rPr>
      </w:pPr>
      <w:r>
        <w:rPr>
          <w:rFonts w:hint="eastAsia" w:ascii="仿宋_GB2312" w:hAnsi="黑体" w:eastAsia="仿宋_GB2312" w:cs="宋体"/>
          <w:b/>
          <w:bCs w:val="0"/>
          <w:color w:val="auto"/>
          <w:sz w:val="23"/>
          <w:szCs w:val="23"/>
          <w:lang w:val="en-US" w:eastAsia="zh-CN"/>
        </w:rPr>
        <w:t>附件2：</w:t>
      </w:r>
    </w:p>
    <w:p w14:paraId="7CD59868">
      <w:pPr>
        <w:rPr>
          <w:rFonts w:hint="eastAsia" w:eastAsiaTheme="minorEastAsia"/>
          <w:lang w:eastAsia="zh-CN"/>
        </w:rPr>
      </w:pPr>
      <w:r>
        <w:rPr>
          <w:rFonts w:hint="eastAsia" w:eastAsiaTheme="minorEastAsia"/>
          <w:lang w:eastAsia="zh-CN"/>
        </w:rPr>
        <w:drawing>
          <wp:inline distT="0" distB="0" distL="114300" distR="114300">
            <wp:extent cx="5257165" cy="7434580"/>
            <wp:effectExtent l="0" t="0" r="635" b="7620"/>
            <wp:docPr id="14" name="图片 14" descr="园林绿化养护技术规范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园林绿化养护技术规范_00"/>
                    <pic:cNvPicPr>
                      <a:picLocks noChangeAspect="1"/>
                    </pic:cNvPicPr>
                  </pic:nvPicPr>
                  <pic:blipFill>
                    <a:blip r:embed="rId7"/>
                    <a:stretch>
                      <a:fillRect/>
                    </a:stretch>
                  </pic:blipFill>
                  <pic:spPr>
                    <a:xfrm>
                      <a:off x="0" y="0"/>
                      <a:ext cx="5257165" cy="7434580"/>
                    </a:xfrm>
                    <a:prstGeom prst="rect">
                      <a:avLst/>
                    </a:prstGeom>
                  </pic:spPr>
                </pic:pic>
              </a:graphicData>
            </a:graphic>
          </wp:inline>
        </w:drawing>
      </w:r>
    </w:p>
    <w:p w14:paraId="51559A64">
      <w:pPr>
        <w:pStyle w:val="9"/>
        <w:ind w:left="0" w:firstLine="0" w:firstLineChars="0"/>
        <w:rPr>
          <w:rFonts w:hint="eastAsia" w:eastAsiaTheme="minorEastAsia"/>
          <w:lang w:eastAsia="zh-CN"/>
        </w:rPr>
      </w:pPr>
      <w:r>
        <w:rPr>
          <w:rFonts w:hint="eastAsia" w:eastAsiaTheme="minorEastAsia"/>
          <w:lang w:eastAsia="zh-CN"/>
        </w:rPr>
        <w:drawing>
          <wp:inline distT="0" distB="0" distL="114300" distR="114300">
            <wp:extent cx="5271135" cy="7453630"/>
            <wp:effectExtent l="0" t="0" r="12065" b="1270"/>
            <wp:docPr id="12" name="图片 12" descr="园林绿化养护技术规范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园林绿化养护技术规范_02"/>
                    <pic:cNvPicPr>
                      <a:picLocks noChangeAspect="1"/>
                    </pic:cNvPicPr>
                  </pic:nvPicPr>
                  <pic:blipFill>
                    <a:blip r:embed="rId8"/>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11" name="图片 11" descr="园林绿化养护技术规范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园林绿化养护技术规范_03"/>
                    <pic:cNvPicPr>
                      <a:picLocks noChangeAspect="1"/>
                    </pic:cNvPicPr>
                  </pic:nvPicPr>
                  <pic:blipFill>
                    <a:blip r:embed="rId9"/>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10" name="图片 10" descr="园林绿化养护技术规范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园林绿化养护技术规范_04"/>
                    <pic:cNvPicPr>
                      <a:picLocks noChangeAspect="1"/>
                    </pic:cNvPicPr>
                  </pic:nvPicPr>
                  <pic:blipFill>
                    <a:blip r:embed="rId10"/>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9" name="图片 9" descr="园林绿化养护技术规范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园林绿化养护技术规范_05"/>
                    <pic:cNvPicPr>
                      <a:picLocks noChangeAspect="1"/>
                    </pic:cNvPicPr>
                  </pic:nvPicPr>
                  <pic:blipFill>
                    <a:blip r:embed="rId11"/>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8" name="图片 8" descr="园林绿化养护技术规范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园林绿化养护技术规范_06"/>
                    <pic:cNvPicPr>
                      <a:picLocks noChangeAspect="1"/>
                    </pic:cNvPicPr>
                  </pic:nvPicPr>
                  <pic:blipFill>
                    <a:blip r:embed="rId12"/>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7" name="图片 7" descr="园林绿化养护技术规范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园林绿化养护技术规范_07"/>
                    <pic:cNvPicPr>
                      <a:picLocks noChangeAspect="1"/>
                    </pic:cNvPicPr>
                  </pic:nvPicPr>
                  <pic:blipFill>
                    <a:blip r:embed="rId13"/>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6" name="图片 6" descr="园林绿化养护技术规范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园林绿化养护技术规范_08"/>
                    <pic:cNvPicPr>
                      <a:picLocks noChangeAspect="1"/>
                    </pic:cNvPicPr>
                  </pic:nvPicPr>
                  <pic:blipFill>
                    <a:blip r:embed="rId14"/>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5" name="图片 5" descr="园林绿化养护技术规范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园林绿化养护技术规范_09"/>
                    <pic:cNvPicPr>
                      <a:picLocks noChangeAspect="1"/>
                    </pic:cNvPicPr>
                  </pic:nvPicPr>
                  <pic:blipFill>
                    <a:blip r:embed="rId15"/>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4" name="图片 4" descr="园林绿化养护技术规范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园林绿化养护技术规范_10"/>
                    <pic:cNvPicPr>
                      <a:picLocks noChangeAspect="1"/>
                    </pic:cNvPicPr>
                  </pic:nvPicPr>
                  <pic:blipFill>
                    <a:blip r:embed="rId16"/>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40" name="图片 40" descr="园林绿化养护技术规范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园林绿化养护技术规范_11"/>
                    <pic:cNvPicPr>
                      <a:picLocks noChangeAspect="1"/>
                    </pic:cNvPicPr>
                  </pic:nvPicPr>
                  <pic:blipFill>
                    <a:blip r:embed="rId17"/>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3" name="图片 3" descr="园林绿化养护技术规范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园林绿化养护技术规范_12"/>
                    <pic:cNvPicPr>
                      <a:picLocks noChangeAspect="1"/>
                    </pic:cNvPicPr>
                  </pic:nvPicPr>
                  <pic:blipFill>
                    <a:blip r:embed="rId18"/>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41" name="图片 41" descr="园林绿化养护技术规范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园林绿化养护技术规范_13"/>
                    <pic:cNvPicPr>
                      <a:picLocks noChangeAspect="1"/>
                    </pic:cNvPicPr>
                  </pic:nvPicPr>
                  <pic:blipFill>
                    <a:blip r:embed="rId19"/>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28" name="图片 28" descr="园林绿化养护技术规范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园林绿化养护技术规范_14"/>
                    <pic:cNvPicPr>
                      <a:picLocks noChangeAspect="1"/>
                    </pic:cNvPicPr>
                  </pic:nvPicPr>
                  <pic:blipFill>
                    <a:blip r:embed="rId20"/>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27" name="图片 27" descr="园林绿化养护技术规范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园林绿化养护技术规范_15"/>
                    <pic:cNvPicPr>
                      <a:picLocks noChangeAspect="1"/>
                    </pic:cNvPicPr>
                  </pic:nvPicPr>
                  <pic:blipFill>
                    <a:blip r:embed="rId21"/>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26" name="图片 26" descr="园林绿化养护技术规范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园林绿化养护技术规范_16"/>
                    <pic:cNvPicPr>
                      <a:picLocks noChangeAspect="1"/>
                    </pic:cNvPicPr>
                  </pic:nvPicPr>
                  <pic:blipFill>
                    <a:blip r:embed="rId22"/>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25" name="图片 25" descr="园林绿化养护技术规范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园林绿化养护技术规范_17"/>
                    <pic:cNvPicPr>
                      <a:picLocks noChangeAspect="1"/>
                    </pic:cNvPicPr>
                  </pic:nvPicPr>
                  <pic:blipFill>
                    <a:blip r:embed="rId23"/>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5271135" cy="7453630"/>
            <wp:effectExtent l="0" t="0" r="12065" b="1270"/>
            <wp:docPr id="24" name="图片 24" descr="园林绿化养护技术规范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园林绿化养护技术规范_18"/>
                    <pic:cNvPicPr>
                      <a:picLocks noChangeAspect="1"/>
                    </pic:cNvPicPr>
                  </pic:nvPicPr>
                  <pic:blipFill>
                    <a:blip r:embed="rId24"/>
                    <a:stretch>
                      <a:fillRect/>
                    </a:stretch>
                  </pic:blipFill>
                  <pic:spPr>
                    <a:xfrm>
                      <a:off x="0" y="0"/>
                      <a:ext cx="5271135" cy="7453630"/>
                    </a:xfrm>
                    <a:prstGeom prst="rect">
                      <a:avLst/>
                    </a:prstGeom>
                  </pic:spPr>
                </pic:pic>
              </a:graphicData>
            </a:graphic>
          </wp:inline>
        </w:drawing>
      </w:r>
      <w:r>
        <w:rPr>
          <w:rFonts w:hint="eastAsia" w:eastAsiaTheme="minorEastAsia"/>
          <w:lang w:eastAsia="zh-CN"/>
        </w:rPr>
        <w:drawing>
          <wp:inline distT="0" distB="0" distL="114300" distR="114300">
            <wp:extent cx="7476490" cy="5287010"/>
            <wp:effectExtent l="0" t="0" r="8890" b="3810"/>
            <wp:docPr id="23" name="图片 23" descr="园林绿化养护技术规范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园林绿化养护技术规范_19"/>
                    <pic:cNvPicPr>
                      <a:picLocks noChangeAspect="1"/>
                    </pic:cNvPicPr>
                  </pic:nvPicPr>
                  <pic:blipFill>
                    <a:blip r:embed="rId25"/>
                    <a:stretch>
                      <a:fillRect/>
                    </a:stretch>
                  </pic:blipFill>
                  <pic:spPr>
                    <a:xfrm rot="16200000">
                      <a:off x="0" y="0"/>
                      <a:ext cx="7476490" cy="5287010"/>
                    </a:xfrm>
                    <a:prstGeom prst="rect">
                      <a:avLst/>
                    </a:prstGeom>
                  </pic:spPr>
                </pic:pic>
              </a:graphicData>
            </a:graphic>
          </wp:inline>
        </w:drawing>
      </w:r>
      <w:r>
        <w:rPr>
          <w:rFonts w:hint="eastAsia" w:eastAsiaTheme="minorEastAsia"/>
          <w:lang w:eastAsia="zh-CN"/>
        </w:rPr>
        <w:drawing>
          <wp:inline distT="0" distB="0" distL="114300" distR="114300">
            <wp:extent cx="7487285" cy="5293995"/>
            <wp:effectExtent l="0" t="0" r="1905" b="5715"/>
            <wp:docPr id="22" name="图片 22" descr="园林绿化养护技术规范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园林绿化养护技术规范_20"/>
                    <pic:cNvPicPr>
                      <a:picLocks noChangeAspect="1"/>
                    </pic:cNvPicPr>
                  </pic:nvPicPr>
                  <pic:blipFill>
                    <a:blip r:embed="rId26"/>
                    <a:stretch>
                      <a:fillRect/>
                    </a:stretch>
                  </pic:blipFill>
                  <pic:spPr>
                    <a:xfrm rot="16200000">
                      <a:off x="0" y="0"/>
                      <a:ext cx="7487285" cy="5293995"/>
                    </a:xfrm>
                    <a:prstGeom prst="rect">
                      <a:avLst/>
                    </a:prstGeom>
                  </pic:spPr>
                </pic:pic>
              </a:graphicData>
            </a:graphic>
          </wp:inline>
        </w:drawing>
      </w:r>
      <w:r>
        <w:rPr>
          <w:rFonts w:hint="eastAsia" w:eastAsiaTheme="minorEastAsia"/>
          <w:lang w:eastAsia="zh-CN"/>
        </w:rPr>
        <w:drawing>
          <wp:inline distT="0" distB="0" distL="114300" distR="114300">
            <wp:extent cx="7494905" cy="5299710"/>
            <wp:effectExtent l="0" t="0" r="8890" b="10795"/>
            <wp:docPr id="21" name="图片 21" descr="园林绿化养护技术规范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园林绿化养护技术规范_21"/>
                    <pic:cNvPicPr>
                      <a:picLocks noChangeAspect="1"/>
                    </pic:cNvPicPr>
                  </pic:nvPicPr>
                  <pic:blipFill>
                    <a:blip r:embed="rId27"/>
                    <a:stretch>
                      <a:fillRect/>
                    </a:stretch>
                  </pic:blipFill>
                  <pic:spPr>
                    <a:xfrm rot="16200000">
                      <a:off x="0" y="0"/>
                      <a:ext cx="7494905" cy="5299710"/>
                    </a:xfrm>
                    <a:prstGeom prst="rect">
                      <a:avLst/>
                    </a:prstGeom>
                  </pic:spPr>
                </pic:pic>
              </a:graphicData>
            </a:graphic>
          </wp:inline>
        </w:drawing>
      </w:r>
      <w:r>
        <w:rPr>
          <w:rFonts w:hint="eastAsia" w:eastAsiaTheme="minorEastAsia"/>
          <w:lang w:eastAsia="zh-CN"/>
        </w:rPr>
        <w:drawing>
          <wp:inline distT="0" distB="0" distL="114300" distR="114300">
            <wp:extent cx="7426960" cy="5251450"/>
            <wp:effectExtent l="0" t="0" r="6350" b="2540"/>
            <wp:docPr id="20" name="图片 20" descr="园林绿化养护技术规范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园林绿化养护技术规范_22"/>
                    <pic:cNvPicPr>
                      <a:picLocks noChangeAspect="1"/>
                    </pic:cNvPicPr>
                  </pic:nvPicPr>
                  <pic:blipFill>
                    <a:blip r:embed="rId28"/>
                    <a:stretch>
                      <a:fillRect/>
                    </a:stretch>
                  </pic:blipFill>
                  <pic:spPr>
                    <a:xfrm rot="16200000">
                      <a:off x="0" y="0"/>
                      <a:ext cx="7426960" cy="5251450"/>
                    </a:xfrm>
                    <a:prstGeom prst="rect">
                      <a:avLst/>
                    </a:prstGeom>
                  </pic:spPr>
                </pic:pic>
              </a:graphicData>
            </a:graphic>
          </wp:inline>
        </w:drawing>
      </w:r>
      <w:r>
        <w:rPr>
          <w:rFonts w:hint="eastAsia" w:eastAsiaTheme="minorEastAsia"/>
          <w:lang w:eastAsia="zh-CN"/>
        </w:rPr>
        <w:drawing>
          <wp:inline distT="0" distB="0" distL="114300" distR="114300">
            <wp:extent cx="7474585" cy="5285105"/>
            <wp:effectExtent l="0" t="0" r="10795" b="5715"/>
            <wp:docPr id="19" name="图片 19" descr="园林绿化养护技术规范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园林绿化养护技术规范_23"/>
                    <pic:cNvPicPr>
                      <a:picLocks noChangeAspect="1"/>
                    </pic:cNvPicPr>
                  </pic:nvPicPr>
                  <pic:blipFill>
                    <a:blip r:embed="rId29"/>
                    <a:stretch>
                      <a:fillRect/>
                    </a:stretch>
                  </pic:blipFill>
                  <pic:spPr>
                    <a:xfrm rot="16200000">
                      <a:off x="0" y="0"/>
                      <a:ext cx="7474585" cy="5285105"/>
                    </a:xfrm>
                    <a:prstGeom prst="rect">
                      <a:avLst/>
                    </a:prstGeom>
                  </pic:spPr>
                </pic:pic>
              </a:graphicData>
            </a:graphic>
          </wp:inline>
        </w:drawing>
      </w:r>
      <w:r>
        <w:rPr>
          <w:rFonts w:hint="eastAsia" w:eastAsiaTheme="minorEastAsia"/>
          <w:lang w:eastAsia="zh-CN"/>
        </w:rPr>
        <w:drawing>
          <wp:inline distT="0" distB="0" distL="114300" distR="114300">
            <wp:extent cx="7494905" cy="5299710"/>
            <wp:effectExtent l="0" t="0" r="8890" b="10795"/>
            <wp:docPr id="18" name="图片 18" descr="园林绿化养护技术规范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园林绿化养护技术规范_24"/>
                    <pic:cNvPicPr>
                      <a:picLocks noChangeAspect="1"/>
                    </pic:cNvPicPr>
                  </pic:nvPicPr>
                  <pic:blipFill>
                    <a:blip r:embed="rId30"/>
                    <a:stretch>
                      <a:fillRect/>
                    </a:stretch>
                  </pic:blipFill>
                  <pic:spPr>
                    <a:xfrm rot="16200000">
                      <a:off x="0" y="0"/>
                      <a:ext cx="7494905" cy="5299710"/>
                    </a:xfrm>
                    <a:prstGeom prst="rect">
                      <a:avLst/>
                    </a:prstGeom>
                  </pic:spPr>
                </pic:pic>
              </a:graphicData>
            </a:graphic>
          </wp:inline>
        </w:drawing>
      </w:r>
      <w:r>
        <w:rPr>
          <w:rFonts w:hint="eastAsia" w:eastAsiaTheme="minorEastAsia"/>
          <w:lang w:eastAsia="zh-CN"/>
        </w:rPr>
        <w:drawing>
          <wp:inline distT="0" distB="0" distL="114300" distR="114300">
            <wp:extent cx="7478395" cy="5288280"/>
            <wp:effectExtent l="0" t="0" r="7620" b="1905"/>
            <wp:docPr id="17" name="图片 17" descr="园林绿化养护技术规范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园林绿化养护技术规范_25"/>
                    <pic:cNvPicPr>
                      <a:picLocks noChangeAspect="1"/>
                    </pic:cNvPicPr>
                  </pic:nvPicPr>
                  <pic:blipFill>
                    <a:blip r:embed="rId31"/>
                    <a:stretch>
                      <a:fillRect/>
                    </a:stretch>
                  </pic:blipFill>
                  <pic:spPr>
                    <a:xfrm rot="16200000">
                      <a:off x="0" y="0"/>
                      <a:ext cx="7478395" cy="5288280"/>
                    </a:xfrm>
                    <a:prstGeom prst="rect">
                      <a:avLst/>
                    </a:prstGeom>
                  </pic:spPr>
                </pic:pic>
              </a:graphicData>
            </a:graphic>
          </wp:inline>
        </w:drawing>
      </w:r>
      <w:r>
        <w:rPr>
          <w:rFonts w:hint="eastAsia" w:eastAsiaTheme="minorEastAsia"/>
          <w:lang w:eastAsia="zh-CN"/>
        </w:rPr>
        <w:drawing>
          <wp:inline distT="0" distB="0" distL="114300" distR="114300">
            <wp:extent cx="7494905" cy="5299710"/>
            <wp:effectExtent l="0" t="0" r="8890" b="10795"/>
            <wp:docPr id="16" name="图片 16" descr="园林绿化养护技术规范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园林绿化养护技术规范_26"/>
                    <pic:cNvPicPr>
                      <a:picLocks noChangeAspect="1"/>
                    </pic:cNvPicPr>
                  </pic:nvPicPr>
                  <pic:blipFill>
                    <a:blip r:embed="rId32"/>
                    <a:stretch>
                      <a:fillRect/>
                    </a:stretch>
                  </pic:blipFill>
                  <pic:spPr>
                    <a:xfrm rot="16200000">
                      <a:off x="0" y="0"/>
                      <a:ext cx="7494905" cy="5299710"/>
                    </a:xfrm>
                    <a:prstGeom prst="rect">
                      <a:avLst/>
                    </a:prstGeom>
                  </pic:spPr>
                </pic:pic>
              </a:graphicData>
            </a:graphic>
          </wp:inline>
        </w:drawing>
      </w:r>
      <w:r>
        <w:rPr>
          <w:rFonts w:hint="eastAsia" w:eastAsiaTheme="minorEastAsia"/>
          <w:lang w:eastAsia="zh-CN"/>
        </w:rPr>
        <w:drawing>
          <wp:inline distT="0" distB="0" distL="114300" distR="114300">
            <wp:extent cx="7494905" cy="5299710"/>
            <wp:effectExtent l="0" t="0" r="8890" b="10795"/>
            <wp:docPr id="15" name="图片 15" descr="园林绿化养护技术规范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园林绿化养护技术规范_27"/>
                    <pic:cNvPicPr>
                      <a:picLocks noChangeAspect="1"/>
                    </pic:cNvPicPr>
                  </pic:nvPicPr>
                  <pic:blipFill>
                    <a:blip r:embed="rId33"/>
                    <a:stretch>
                      <a:fillRect/>
                    </a:stretch>
                  </pic:blipFill>
                  <pic:spPr>
                    <a:xfrm rot="16200000">
                      <a:off x="0" y="0"/>
                      <a:ext cx="7494905" cy="5299710"/>
                    </a:xfrm>
                    <a:prstGeom prst="rect">
                      <a:avLst/>
                    </a:prstGeom>
                  </pic:spPr>
                </pic:pic>
              </a:graphicData>
            </a:graphic>
          </wp:inline>
        </w:drawing>
      </w:r>
      <w:r>
        <w:rPr>
          <w:rFonts w:hint="eastAsia" w:eastAsiaTheme="minorEastAsia"/>
          <w:lang w:eastAsia="zh-CN"/>
        </w:rPr>
        <w:drawing>
          <wp:inline distT="0" distB="0" distL="114300" distR="114300">
            <wp:extent cx="7450455" cy="5267960"/>
            <wp:effectExtent l="0" t="0" r="2540" b="4445"/>
            <wp:docPr id="30" name="图片 30" descr="园林绿化养护技术规范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园林绿化养护技术规范_28"/>
                    <pic:cNvPicPr>
                      <a:picLocks noChangeAspect="1"/>
                    </pic:cNvPicPr>
                  </pic:nvPicPr>
                  <pic:blipFill>
                    <a:blip r:embed="rId34"/>
                    <a:stretch>
                      <a:fillRect/>
                    </a:stretch>
                  </pic:blipFill>
                  <pic:spPr>
                    <a:xfrm rot="16200000">
                      <a:off x="0" y="0"/>
                      <a:ext cx="7450455" cy="5267960"/>
                    </a:xfrm>
                    <a:prstGeom prst="rect">
                      <a:avLst/>
                    </a:prstGeom>
                  </pic:spPr>
                </pic:pic>
              </a:graphicData>
            </a:graphic>
          </wp:inline>
        </w:drawing>
      </w:r>
      <w:r>
        <w:rPr>
          <w:rFonts w:hint="eastAsia" w:eastAsiaTheme="minorEastAsia"/>
          <w:lang w:eastAsia="zh-CN"/>
        </w:rPr>
        <w:drawing>
          <wp:inline distT="0" distB="0" distL="114300" distR="114300">
            <wp:extent cx="7426960" cy="5251450"/>
            <wp:effectExtent l="0" t="0" r="6350" b="2540"/>
            <wp:docPr id="29" name="图片 29" descr="园林绿化养护技术规范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园林绿化养护技术规范_29"/>
                    <pic:cNvPicPr>
                      <a:picLocks noChangeAspect="1"/>
                    </pic:cNvPicPr>
                  </pic:nvPicPr>
                  <pic:blipFill>
                    <a:blip r:embed="rId35"/>
                    <a:stretch>
                      <a:fillRect/>
                    </a:stretch>
                  </pic:blipFill>
                  <pic:spPr>
                    <a:xfrm rot="16200000">
                      <a:off x="0" y="0"/>
                      <a:ext cx="7426960" cy="5251450"/>
                    </a:xfrm>
                    <a:prstGeom prst="rect">
                      <a:avLst/>
                    </a:prstGeom>
                  </pic:spPr>
                </pic:pic>
              </a:graphicData>
            </a:graphic>
          </wp:inline>
        </w:drawing>
      </w:r>
    </w:p>
    <w:p w14:paraId="0FFE5BF4">
      <w:pPr>
        <w:rPr>
          <w:rFonts w:hint="eastAsia" w:eastAsiaTheme="minorEastAsia"/>
          <w:lang w:eastAsia="zh-CN"/>
        </w:rPr>
        <w:sectPr>
          <w:footerReference r:id="rId4" w:type="default"/>
          <w:pgSz w:w="11906" w:h="16838"/>
          <w:pgMar w:top="1814" w:right="1474" w:bottom="1588" w:left="1588" w:header="851" w:footer="992" w:gutter="0"/>
          <w:pgNumType w:fmt="decimal" w:start="1"/>
          <w:cols w:space="425" w:num="1"/>
          <w:docGrid w:type="lines" w:linePitch="312" w:charSpace="0"/>
        </w:sectPr>
      </w:pPr>
      <w:r>
        <w:rPr>
          <w:rFonts w:hint="eastAsia" w:eastAsiaTheme="minorEastAsia"/>
          <w:lang w:eastAsia="zh-CN"/>
        </w:rPr>
        <w:br w:type="page"/>
      </w:r>
    </w:p>
    <w:p w14:paraId="6AD92063">
      <w:pPr>
        <w:pStyle w:val="2"/>
        <w:rPr>
          <w:rFonts w:hint="eastAsia"/>
          <w:lang w:eastAsia="zh-CN"/>
        </w:rPr>
      </w:pPr>
    </w:p>
    <w:p w14:paraId="1B4D1EF3">
      <w:pPr>
        <w:keepNext w:val="0"/>
        <w:keepLines w:val="0"/>
        <w:pageBreakBefore w:val="0"/>
        <w:widowControl/>
        <w:kinsoku/>
        <w:overflowPunct/>
        <w:topLinePunct w:val="0"/>
        <w:autoSpaceDE/>
        <w:autoSpaceDN/>
        <w:bidi w:val="0"/>
        <w:adjustRightInd w:val="0"/>
        <w:snapToGrid w:val="0"/>
        <w:spacing w:line="560" w:lineRule="exact"/>
        <w:ind w:firstLine="462" w:firstLineChars="200"/>
        <w:textAlignment w:val="auto"/>
        <w:outlineLvl w:val="1"/>
        <w:rPr>
          <w:rFonts w:hint="default" w:ascii="仿宋_GB2312" w:hAnsi="黑体" w:eastAsia="仿宋_GB2312" w:cs="宋体"/>
          <w:b/>
          <w:bCs w:val="0"/>
          <w:color w:val="auto"/>
          <w:sz w:val="23"/>
          <w:szCs w:val="23"/>
          <w:lang w:val="en-US" w:eastAsia="zh-CN"/>
        </w:rPr>
      </w:pPr>
      <w:r>
        <w:rPr>
          <w:rFonts w:hint="eastAsia" w:ascii="仿宋_GB2312" w:hAnsi="黑体" w:eastAsia="仿宋_GB2312" w:cs="宋体"/>
          <w:b/>
          <w:bCs w:val="0"/>
          <w:color w:val="auto"/>
          <w:sz w:val="23"/>
          <w:szCs w:val="23"/>
          <w:lang w:val="en-US" w:eastAsia="zh-CN"/>
        </w:rPr>
        <w:t>附件3：</w:t>
      </w:r>
    </w:p>
    <w:tbl>
      <w:tblPr>
        <w:tblStyle w:val="10"/>
        <w:tblW w:w="148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7"/>
        <w:gridCol w:w="1462"/>
        <w:gridCol w:w="6767"/>
        <w:gridCol w:w="806"/>
        <w:gridCol w:w="1181"/>
        <w:gridCol w:w="1144"/>
        <w:gridCol w:w="1144"/>
        <w:gridCol w:w="1144"/>
      </w:tblGrid>
      <w:tr w14:paraId="131C8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14868" w:type="dxa"/>
            <w:gridSpan w:val="8"/>
            <w:tcBorders>
              <w:top w:val="nil"/>
              <w:left w:val="nil"/>
              <w:bottom w:val="nil"/>
              <w:right w:val="nil"/>
            </w:tcBorders>
            <w:shd w:val="clear" w:color="auto" w:fill="auto"/>
            <w:vAlign w:val="center"/>
          </w:tcPr>
          <w:p w14:paraId="4F050DA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雁塔区园林绿化养护管理月评分表</w:t>
            </w:r>
          </w:p>
        </w:tc>
      </w:tr>
      <w:tr w14:paraId="0E343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14868" w:type="dxa"/>
            <w:gridSpan w:val="8"/>
            <w:tcBorders>
              <w:top w:val="nil"/>
              <w:left w:val="nil"/>
              <w:bottom w:val="nil"/>
              <w:right w:val="nil"/>
            </w:tcBorders>
            <w:shd w:val="clear" w:color="auto" w:fill="auto"/>
            <w:vAlign w:val="center"/>
          </w:tcPr>
          <w:p w14:paraId="1C09EF2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企业名称：</w:t>
            </w:r>
          </w:p>
        </w:tc>
      </w:tr>
      <w:tr w14:paraId="18D57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2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4243E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类别</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E8D4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检查内容</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CE865">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分值</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66C8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扣分标准</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8496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扣分原因</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AF97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扣分</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2C8E5">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得分</w:t>
            </w:r>
          </w:p>
        </w:tc>
      </w:tr>
      <w:tr w14:paraId="34026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1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472126">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绿化养护</w:t>
            </w:r>
          </w:p>
          <w:p w14:paraId="42F9B8B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（45分）</w:t>
            </w: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C751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行道树、乔木养护</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85D6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1.死树、枯枝、伤残枝是否及时清理</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09E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7D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BCAD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DE23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3E3E3">
            <w:pPr>
              <w:rPr>
                <w:rFonts w:hint="eastAsia" w:ascii="宋体" w:hAnsi="宋体" w:eastAsia="宋体" w:cs="宋体"/>
                <w:i w:val="0"/>
                <w:iCs w:val="0"/>
                <w:color w:val="000000"/>
                <w:sz w:val="24"/>
                <w:szCs w:val="24"/>
                <w:u w:val="none"/>
              </w:rPr>
            </w:pPr>
          </w:p>
        </w:tc>
      </w:tr>
      <w:tr w14:paraId="07853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6ED17">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6C2BF9">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B130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乔木是否有明显徒长枝、下垂枝，是否遮挡交通信号灯、交通指示牌、行车视线；是否对高压电线、电箱、房屋等构筑物造成安全隐患；树冠下缘距离架空电线垂直距离是否符合标准；是否对行人及车辆造成安全隐患。</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A3D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D3F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89387">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74FFE">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3E209">
            <w:pPr>
              <w:rPr>
                <w:rFonts w:hint="eastAsia" w:ascii="宋体" w:hAnsi="宋体" w:eastAsia="宋体" w:cs="宋体"/>
                <w:i w:val="0"/>
                <w:iCs w:val="0"/>
                <w:color w:val="000000"/>
                <w:sz w:val="24"/>
                <w:szCs w:val="24"/>
                <w:u w:val="none"/>
              </w:rPr>
            </w:pPr>
          </w:p>
        </w:tc>
      </w:tr>
      <w:tr w14:paraId="1FA10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22AB3">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FCBE9">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980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3.主干及一级枝不定芽、萌蘖枝是否及时处理</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FA8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E92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3A00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97D6B">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792DA">
            <w:pPr>
              <w:rPr>
                <w:rFonts w:hint="eastAsia" w:ascii="宋体" w:hAnsi="宋体" w:eastAsia="宋体" w:cs="宋体"/>
                <w:i w:val="0"/>
                <w:iCs w:val="0"/>
                <w:color w:val="000000"/>
                <w:sz w:val="24"/>
                <w:szCs w:val="24"/>
                <w:u w:val="none"/>
              </w:rPr>
            </w:pPr>
          </w:p>
        </w:tc>
      </w:tr>
      <w:tr w14:paraId="0F518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66239">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412AC">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0123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4.树形是否标准，长势是否正常，是否具备观赏价值</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4D0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628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45B2">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BD1D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95F1B">
            <w:pPr>
              <w:rPr>
                <w:rFonts w:hint="eastAsia" w:ascii="宋体" w:hAnsi="宋体" w:eastAsia="宋体" w:cs="宋体"/>
                <w:i w:val="0"/>
                <w:iCs w:val="0"/>
                <w:color w:val="000000"/>
                <w:sz w:val="24"/>
                <w:szCs w:val="24"/>
                <w:u w:val="none"/>
              </w:rPr>
            </w:pPr>
          </w:p>
        </w:tc>
      </w:tr>
      <w:tr w14:paraId="5E399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FADAD9">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231A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绿篱、花灌木养护</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2A78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1.绿篱、花灌木是否及时修剪，高度是否影响行车视线</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7CB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65E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1A77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3FE9E">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EE4D0">
            <w:pPr>
              <w:rPr>
                <w:rFonts w:hint="eastAsia" w:ascii="宋体" w:hAnsi="宋体" w:eastAsia="宋体" w:cs="宋体"/>
                <w:i w:val="0"/>
                <w:iCs w:val="0"/>
                <w:color w:val="000000"/>
                <w:sz w:val="24"/>
                <w:szCs w:val="24"/>
                <w:u w:val="none"/>
              </w:rPr>
            </w:pPr>
          </w:p>
        </w:tc>
      </w:tr>
      <w:tr w14:paraId="386EB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4C0FE">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905730">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D1EB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2.造型是否美观,无枯枝败叶，花谢后要是否及时剪掉残花老枝</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BDC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9E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CE1E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E61A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C95FE">
            <w:pPr>
              <w:rPr>
                <w:rFonts w:hint="eastAsia" w:ascii="宋体" w:hAnsi="宋体" w:eastAsia="宋体" w:cs="宋体"/>
                <w:i w:val="0"/>
                <w:iCs w:val="0"/>
                <w:color w:val="000000"/>
                <w:sz w:val="24"/>
                <w:szCs w:val="24"/>
                <w:u w:val="none"/>
              </w:rPr>
            </w:pPr>
          </w:p>
        </w:tc>
      </w:tr>
      <w:tr w14:paraId="339C24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65437">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A2D15">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373C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3.长势是否旺盛,花繁叶茂,是否具有一定的艺术感和立体感。</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415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262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扣0.5分/株</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42CC7">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35E3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E81A5">
            <w:pPr>
              <w:rPr>
                <w:rFonts w:hint="eastAsia" w:ascii="宋体" w:hAnsi="宋体" w:eastAsia="宋体" w:cs="宋体"/>
                <w:i w:val="0"/>
                <w:iCs w:val="0"/>
                <w:color w:val="000000"/>
                <w:sz w:val="24"/>
                <w:szCs w:val="24"/>
                <w:u w:val="none"/>
              </w:rPr>
            </w:pPr>
          </w:p>
        </w:tc>
      </w:tr>
      <w:tr w14:paraId="44B49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661780">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BF4E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草坪养护</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D0E2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1.草坪高度是否控制在5-8cm，草坪边缘是否清晰</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DE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F8C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D42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10344">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F8B3F">
            <w:pPr>
              <w:rPr>
                <w:rFonts w:hint="eastAsia" w:ascii="宋体" w:hAnsi="宋体" w:eastAsia="宋体" w:cs="宋体"/>
                <w:i w:val="0"/>
                <w:iCs w:val="0"/>
                <w:color w:val="000000"/>
                <w:sz w:val="24"/>
                <w:szCs w:val="24"/>
                <w:u w:val="none"/>
              </w:rPr>
            </w:pPr>
          </w:p>
        </w:tc>
      </w:tr>
      <w:tr w14:paraId="72AFA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35AEA">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F2308">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8458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2.杂草、杂物清理是否及时</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A1D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838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7824F">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F5C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AAF0B">
            <w:pPr>
              <w:rPr>
                <w:rFonts w:hint="eastAsia" w:ascii="宋体" w:hAnsi="宋体" w:eastAsia="宋体" w:cs="宋体"/>
                <w:i w:val="0"/>
                <w:iCs w:val="0"/>
                <w:color w:val="000000"/>
                <w:sz w:val="24"/>
                <w:szCs w:val="24"/>
                <w:u w:val="none"/>
              </w:rPr>
            </w:pPr>
          </w:p>
        </w:tc>
      </w:tr>
      <w:tr w14:paraId="3C2C2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04759E">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D34082">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32B5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3.浇水、施肥是否满足草坪正常生长需要，长势是否良好</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04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3FB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861F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211D">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AABF7">
            <w:pPr>
              <w:rPr>
                <w:rFonts w:hint="eastAsia" w:ascii="宋体" w:hAnsi="宋体" w:eastAsia="宋体" w:cs="宋体"/>
                <w:i w:val="0"/>
                <w:iCs w:val="0"/>
                <w:color w:val="000000"/>
                <w:sz w:val="24"/>
                <w:szCs w:val="24"/>
                <w:u w:val="none"/>
              </w:rPr>
            </w:pPr>
          </w:p>
        </w:tc>
      </w:tr>
      <w:tr w14:paraId="74249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5A8C59">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8ED2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病虫害防治</w:t>
            </w:r>
          </w:p>
        </w:tc>
        <w:tc>
          <w:tcPr>
            <w:tcW w:w="6769" w:type="dxa"/>
            <w:tcBorders>
              <w:top w:val="nil"/>
              <w:left w:val="nil"/>
              <w:bottom w:val="nil"/>
              <w:right w:val="nil"/>
            </w:tcBorders>
            <w:shd w:val="clear" w:color="auto" w:fill="auto"/>
            <w:vAlign w:val="center"/>
          </w:tcPr>
          <w:p w14:paraId="4F34B95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1.是否按照集中整治要求，按时完成防治任务</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9BE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53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扣2分/次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F4FB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C7B73">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74148">
            <w:pPr>
              <w:rPr>
                <w:rFonts w:hint="eastAsia" w:ascii="宋体" w:hAnsi="宋体" w:eastAsia="宋体" w:cs="宋体"/>
                <w:i w:val="0"/>
                <w:iCs w:val="0"/>
                <w:color w:val="000000"/>
                <w:sz w:val="24"/>
                <w:szCs w:val="24"/>
                <w:u w:val="none"/>
              </w:rPr>
            </w:pPr>
          </w:p>
        </w:tc>
      </w:tr>
      <w:tr w14:paraId="03AEE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D57527">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64C53B">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9273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2.控制是否及时，整体枝叶受害率、树干受害率等指标是否符合《西安市地方标准 园林绿化养护技术规范》分级质量标准</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8D2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BD5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扣2分/次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BA2E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9CCE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F4B44">
            <w:pPr>
              <w:rPr>
                <w:rFonts w:hint="eastAsia" w:ascii="宋体" w:hAnsi="宋体" w:eastAsia="宋体" w:cs="宋体"/>
                <w:i w:val="0"/>
                <w:iCs w:val="0"/>
                <w:color w:val="000000"/>
                <w:sz w:val="24"/>
                <w:szCs w:val="24"/>
                <w:u w:val="none"/>
              </w:rPr>
            </w:pPr>
          </w:p>
        </w:tc>
      </w:tr>
      <w:tr w14:paraId="3CA47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8251F">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B494D">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4A55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3.养护区域内是否因防治不力造成群众投诉超过3条</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B3B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B1E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扣2分/次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A545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BD2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1B0FA">
            <w:pPr>
              <w:rPr>
                <w:rFonts w:hint="eastAsia" w:ascii="宋体" w:hAnsi="宋体" w:eastAsia="宋体" w:cs="宋体"/>
                <w:i w:val="0"/>
                <w:iCs w:val="0"/>
                <w:color w:val="000000"/>
                <w:sz w:val="24"/>
                <w:szCs w:val="24"/>
                <w:u w:val="none"/>
              </w:rPr>
            </w:pPr>
          </w:p>
        </w:tc>
      </w:tr>
      <w:tr w14:paraId="2E691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1A490D">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2163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抗旱保苗、冬灌、越冬保护、苗木冲洗</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E891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1.高温天气浇灌次数是否到位，是否采取包裹树干、搭遮阳网等措施降低蒸腾作用，防止暴晒或灼伤，使植物顺利越夏</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F35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70E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0EFBE">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EA49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648AD">
            <w:pPr>
              <w:rPr>
                <w:rFonts w:hint="eastAsia" w:ascii="宋体" w:hAnsi="宋体" w:eastAsia="宋体" w:cs="宋体"/>
                <w:i w:val="0"/>
                <w:iCs w:val="0"/>
                <w:color w:val="000000"/>
                <w:sz w:val="24"/>
                <w:szCs w:val="24"/>
                <w:u w:val="none"/>
              </w:rPr>
            </w:pPr>
          </w:p>
        </w:tc>
      </w:tr>
      <w:tr w14:paraId="2E9C9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92C969">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FCE482">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19C9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2.冬灌是否到位，是否采取覆盖、培土、包裹树干、涂白等措施防止冻害；</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B10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66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44F4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D5FA2">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D84DC">
            <w:pPr>
              <w:rPr>
                <w:rFonts w:hint="eastAsia" w:ascii="宋体" w:hAnsi="宋体" w:eastAsia="宋体" w:cs="宋体"/>
                <w:i w:val="0"/>
                <w:iCs w:val="0"/>
                <w:color w:val="000000"/>
                <w:sz w:val="24"/>
                <w:szCs w:val="24"/>
                <w:u w:val="none"/>
              </w:rPr>
            </w:pPr>
          </w:p>
        </w:tc>
      </w:tr>
      <w:tr w14:paraId="03AB2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2050F9">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F4D8F6">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49F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3.苗木冲洗是否到位，是否做到干净整洁、叶露本色</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743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D5E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0C65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ED78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D646B">
            <w:pPr>
              <w:rPr>
                <w:rFonts w:hint="eastAsia" w:ascii="宋体" w:hAnsi="宋体" w:eastAsia="宋体" w:cs="宋体"/>
                <w:i w:val="0"/>
                <w:iCs w:val="0"/>
                <w:color w:val="000000"/>
                <w:sz w:val="24"/>
                <w:szCs w:val="24"/>
                <w:u w:val="none"/>
              </w:rPr>
            </w:pPr>
          </w:p>
        </w:tc>
      </w:tr>
      <w:tr w14:paraId="6CC46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0" w:hRule="atLeast"/>
          <w:jc w:val="center"/>
        </w:trPr>
        <w:tc>
          <w:tcPr>
            <w:tcW w:w="1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5DDAC5">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应急抢险</w:t>
            </w:r>
          </w:p>
          <w:p w14:paraId="736C366C">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（20分）</w:t>
            </w: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7A3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灾害性天气预防措施</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6D3C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是否在强降雨、强降温、大风大雪等灾害性天气来临前，对养护范围内树木支撑防护情况进行检查，是否采取了疏枝、支撑、扶正等预防措施，防止树枝断裂、树木倾倒等事故的发生。</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09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862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D1C5D">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ED3B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A8CEA">
            <w:pPr>
              <w:rPr>
                <w:rFonts w:hint="eastAsia" w:ascii="宋体" w:hAnsi="宋体" w:eastAsia="宋体" w:cs="宋体"/>
                <w:i w:val="0"/>
                <w:iCs w:val="0"/>
                <w:color w:val="000000"/>
                <w:sz w:val="24"/>
                <w:szCs w:val="24"/>
                <w:u w:val="none"/>
              </w:rPr>
            </w:pPr>
          </w:p>
        </w:tc>
      </w:tr>
      <w:tr w14:paraId="654C1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62317">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4AD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应急响应</w:t>
            </w:r>
          </w:p>
        </w:tc>
        <w:tc>
          <w:tcPr>
            <w:tcW w:w="6769" w:type="dxa"/>
            <w:tcBorders>
              <w:top w:val="nil"/>
              <w:left w:val="nil"/>
              <w:bottom w:val="nil"/>
              <w:right w:val="nil"/>
            </w:tcBorders>
            <w:shd w:val="clear" w:color="auto" w:fill="auto"/>
            <w:vAlign w:val="center"/>
          </w:tcPr>
          <w:p w14:paraId="240D786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1.突发事件是否在规定时间内上报信息，是否存在迟报、谎报、漏报、瞒报现象</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4B3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69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扣2分/次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0D71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8CE87">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BDE94">
            <w:pPr>
              <w:rPr>
                <w:rFonts w:hint="eastAsia" w:ascii="宋体" w:hAnsi="宋体" w:eastAsia="宋体" w:cs="宋体"/>
                <w:i w:val="0"/>
                <w:iCs w:val="0"/>
                <w:color w:val="000000"/>
                <w:sz w:val="24"/>
                <w:szCs w:val="24"/>
                <w:u w:val="none"/>
              </w:rPr>
            </w:pPr>
          </w:p>
        </w:tc>
      </w:tr>
      <w:tr w14:paraId="73965F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F0D7D">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1EBF8">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DEAD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2.在接到甲方发出的应急抢险通知后，是否在规定时间内到达现场展开抢险作业，并在规定时间内完成处置工作</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9BE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06C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扣4分/次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1355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B526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7913">
            <w:pPr>
              <w:rPr>
                <w:rFonts w:hint="eastAsia" w:ascii="宋体" w:hAnsi="宋体" w:eastAsia="宋体" w:cs="宋体"/>
                <w:i w:val="0"/>
                <w:iCs w:val="0"/>
                <w:color w:val="000000"/>
                <w:sz w:val="24"/>
                <w:szCs w:val="24"/>
                <w:u w:val="none"/>
              </w:rPr>
            </w:pPr>
          </w:p>
        </w:tc>
      </w:tr>
      <w:tr w14:paraId="2F624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21B051">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7CE31">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9C1C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3.配备的应急人员、抢险车辆、机械和物资是否满足应急抢险工作需要</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150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D9D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扣4分/次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B86F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EE42F">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54FF9">
            <w:pPr>
              <w:rPr>
                <w:rFonts w:hint="eastAsia" w:ascii="宋体" w:hAnsi="宋体" w:eastAsia="宋体" w:cs="宋体"/>
                <w:i w:val="0"/>
                <w:iCs w:val="0"/>
                <w:color w:val="000000"/>
                <w:sz w:val="24"/>
                <w:szCs w:val="24"/>
                <w:u w:val="none"/>
              </w:rPr>
            </w:pPr>
          </w:p>
        </w:tc>
      </w:tr>
      <w:tr w14:paraId="10F48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92D2C">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C0B7E">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C77F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4.是否无条件服从甲方对应抢险工作的统一安排、调遣</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EB8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FF2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扣4分/次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5A592">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E127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01F1F">
            <w:pPr>
              <w:rPr>
                <w:rFonts w:hint="eastAsia" w:ascii="宋体" w:hAnsi="宋体" w:eastAsia="宋体" w:cs="宋体"/>
                <w:i w:val="0"/>
                <w:iCs w:val="0"/>
                <w:color w:val="000000"/>
                <w:sz w:val="24"/>
                <w:szCs w:val="24"/>
                <w:u w:val="none"/>
              </w:rPr>
            </w:pPr>
          </w:p>
        </w:tc>
      </w:tr>
      <w:tr w14:paraId="72448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DD5BA7">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681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灾后处置工作</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821E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是否及时修复灾害中损毁的绿化护栏、树池等相关设施，是否及时补种损毁的绿化苗木。</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05A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54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扣3分/次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0D71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A1F67">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06329">
            <w:pPr>
              <w:rPr>
                <w:rFonts w:hint="eastAsia" w:ascii="宋体" w:hAnsi="宋体" w:eastAsia="宋体" w:cs="宋体"/>
                <w:i w:val="0"/>
                <w:iCs w:val="0"/>
                <w:color w:val="000000"/>
                <w:sz w:val="24"/>
                <w:szCs w:val="24"/>
                <w:u w:val="none"/>
              </w:rPr>
            </w:pPr>
          </w:p>
        </w:tc>
      </w:tr>
      <w:tr w14:paraId="20AB1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jc w:val="center"/>
        </w:trPr>
        <w:tc>
          <w:tcPr>
            <w:tcW w:w="1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D5077F">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设施维护</w:t>
            </w:r>
          </w:p>
          <w:p w14:paraId="78EFE1A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（20分）</w:t>
            </w: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368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园林建筑类</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93CB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外观是否保持整洁、美观、无污损。金属类板材、 玻璃、石材、面砖等建（构）筑物外立面是否定期清洗，涂料类外立面是否及时翻新，保持整洁</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EA2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43B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0469D">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D40AD">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329F0">
            <w:pPr>
              <w:rPr>
                <w:rFonts w:hint="eastAsia" w:ascii="宋体" w:hAnsi="宋体" w:eastAsia="宋体" w:cs="宋体"/>
                <w:i w:val="0"/>
                <w:iCs w:val="0"/>
                <w:color w:val="000000"/>
                <w:sz w:val="24"/>
                <w:szCs w:val="24"/>
                <w:u w:val="none"/>
              </w:rPr>
            </w:pPr>
          </w:p>
        </w:tc>
      </w:tr>
      <w:tr w14:paraId="34DE0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5D507D">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8967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小品设施类</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EF98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1.园路广场是否干净无杂物，平整无损</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93C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8D9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08E1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9EFE3">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42A91">
            <w:pPr>
              <w:rPr>
                <w:rFonts w:hint="eastAsia" w:ascii="宋体" w:hAnsi="宋体" w:eastAsia="宋体" w:cs="宋体"/>
                <w:i w:val="0"/>
                <w:iCs w:val="0"/>
                <w:color w:val="000000"/>
                <w:sz w:val="24"/>
                <w:szCs w:val="24"/>
                <w:u w:val="none"/>
              </w:rPr>
            </w:pPr>
          </w:p>
        </w:tc>
      </w:tr>
      <w:tr w14:paraId="5F499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1EE9E1">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BCDF8">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8D5E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2.健身设施、儿童游乐设施功能是否正常，无安全隐患；是否及时修复或更换损坏、磨损部件，是否定期进行安全性能检测，儿童娱乐沙坑是否定期过筛、重铺、消毒等，是否洁净、无积水</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667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428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扣2分/处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845F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2DAAD">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86883">
            <w:pPr>
              <w:rPr>
                <w:rFonts w:hint="eastAsia" w:ascii="宋体" w:hAnsi="宋体" w:eastAsia="宋体" w:cs="宋体"/>
                <w:i w:val="0"/>
                <w:iCs w:val="0"/>
                <w:color w:val="000000"/>
                <w:sz w:val="24"/>
                <w:szCs w:val="24"/>
                <w:u w:val="none"/>
              </w:rPr>
            </w:pPr>
          </w:p>
        </w:tc>
      </w:tr>
      <w:tr w14:paraId="12D66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BA7AA6">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8A81E4">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9F75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3.花坛花箱等容器是否及时维修，是否定期更换枯萎、病虫害植物，保持花箱内植物生长良好；是否定期清洁花箱，保持外观整洁</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1E3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047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E8C6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7F08F">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BC73F">
            <w:pPr>
              <w:rPr>
                <w:rFonts w:hint="eastAsia" w:ascii="宋体" w:hAnsi="宋体" w:eastAsia="宋体" w:cs="宋体"/>
                <w:i w:val="0"/>
                <w:iCs w:val="0"/>
                <w:color w:val="000000"/>
                <w:sz w:val="24"/>
                <w:szCs w:val="24"/>
                <w:u w:val="none"/>
              </w:rPr>
            </w:pPr>
          </w:p>
        </w:tc>
      </w:tr>
      <w:tr w14:paraId="380F28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E71E8">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A7B57">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B24D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4.垃圾箱、灭烟柱是否及时清洁，保持无污渍、无垃圾外溢；标识标牌是否保持构件完整、整洁，标识信息清晰。</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26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ACA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0ACC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7612F">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B00DB">
            <w:pPr>
              <w:rPr>
                <w:rFonts w:hint="eastAsia" w:ascii="宋体" w:hAnsi="宋体" w:eastAsia="宋体" w:cs="宋体"/>
                <w:i w:val="0"/>
                <w:iCs w:val="0"/>
                <w:color w:val="000000"/>
                <w:sz w:val="24"/>
                <w:szCs w:val="24"/>
                <w:u w:val="none"/>
              </w:rPr>
            </w:pPr>
          </w:p>
        </w:tc>
      </w:tr>
      <w:tr w14:paraId="5A07E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52439">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438DCC">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E1E7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5.树池篦子是否保持完好无损，无松动、缺失现象；是否定期清理篦子内杂物，排水畅通，是否及时更换损坏的树池篦子。</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EF6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8F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扣0.5分/处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2A7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9CEBA">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3FDB1">
            <w:pPr>
              <w:rPr>
                <w:rFonts w:hint="eastAsia" w:ascii="宋体" w:hAnsi="宋体" w:eastAsia="宋体" w:cs="宋体"/>
                <w:i w:val="0"/>
                <w:iCs w:val="0"/>
                <w:color w:val="000000"/>
                <w:sz w:val="24"/>
                <w:szCs w:val="24"/>
                <w:u w:val="none"/>
              </w:rPr>
            </w:pPr>
          </w:p>
        </w:tc>
      </w:tr>
      <w:tr w14:paraId="76ACD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830FCD">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54BE13">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3BD2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6.围墙、护栏、挡土墙是否定期检测维修，外观平整美观，结构稳固，无沉降、裂缝，金属构件无锈蚀、脱漆等</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4DD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134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7D0EB">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2B01E">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945A4">
            <w:pPr>
              <w:rPr>
                <w:rFonts w:hint="eastAsia" w:ascii="宋体" w:hAnsi="宋体" w:eastAsia="宋体" w:cs="宋体"/>
                <w:i w:val="0"/>
                <w:iCs w:val="0"/>
                <w:color w:val="000000"/>
                <w:sz w:val="24"/>
                <w:szCs w:val="24"/>
                <w:u w:val="none"/>
              </w:rPr>
            </w:pPr>
          </w:p>
        </w:tc>
      </w:tr>
      <w:tr w14:paraId="3F498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198595">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49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管理服务类</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936C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车辆停放设施、给水排水设施、供电照明设施、公共广播及监控设施、应急避险设施、无障碍设施等是否定期检查，功能是否完好，无安全隐患</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BF9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FEC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7C974">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703D6">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E7752">
            <w:pPr>
              <w:rPr>
                <w:rFonts w:hint="eastAsia" w:ascii="宋体" w:hAnsi="宋体" w:eastAsia="宋体" w:cs="宋体"/>
                <w:i w:val="0"/>
                <w:iCs w:val="0"/>
                <w:color w:val="000000"/>
                <w:sz w:val="24"/>
                <w:szCs w:val="24"/>
                <w:u w:val="none"/>
              </w:rPr>
            </w:pPr>
          </w:p>
        </w:tc>
      </w:tr>
      <w:tr w14:paraId="02203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1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E98026">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绿地管理</w:t>
            </w:r>
          </w:p>
          <w:p w14:paraId="0DD1619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（15分）</w:t>
            </w: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56A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人员、设施配备</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7F2A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人员、机械、设备、车辆等是否按要求配备齐全，主要人员是否在岗在位</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66F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2C9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7A332">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0B8C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A5EA2">
            <w:pPr>
              <w:rPr>
                <w:rFonts w:hint="eastAsia" w:ascii="宋体" w:hAnsi="宋体" w:eastAsia="宋体" w:cs="宋体"/>
                <w:i w:val="0"/>
                <w:iCs w:val="0"/>
                <w:color w:val="000000"/>
                <w:sz w:val="24"/>
                <w:szCs w:val="24"/>
                <w:u w:val="none"/>
              </w:rPr>
            </w:pPr>
          </w:p>
        </w:tc>
      </w:tr>
      <w:tr w14:paraId="376F6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F4331E">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54B2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绿地保洁</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A00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绿地是否整洁，绿地内的干枯枝叶、垃圾、粪便、各类废弃物、杂草等是否及时清理，树干是否有钉子、铁丝、晾晒衣物等附着物</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5F0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C3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9D30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E9E4B">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BBD07">
            <w:pPr>
              <w:rPr>
                <w:rFonts w:hint="eastAsia" w:ascii="宋体" w:hAnsi="宋体" w:eastAsia="宋体" w:cs="宋体"/>
                <w:i w:val="0"/>
                <w:iCs w:val="0"/>
                <w:color w:val="000000"/>
                <w:sz w:val="24"/>
                <w:szCs w:val="24"/>
                <w:u w:val="none"/>
              </w:rPr>
            </w:pPr>
          </w:p>
        </w:tc>
      </w:tr>
      <w:tr w14:paraId="77ED9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32437">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4AD68">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F32A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降雪天气是否及时进行绿地的除雪、防滑处理，确保绿地及园路、广场的安全通行条件。</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C22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C1B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扣1分/处</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C08B4">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EB0EE">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3FA3D">
            <w:pPr>
              <w:rPr>
                <w:rFonts w:hint="eastAsia" w:ascii="宋体" w:hAnsi="宋体" w:eastAsia="宋体" w:cs="宋体"/>
                <w:i w:val="0"/>
                <w:iCs w:val="0"/>
                <w:color w:val="000000"/>
                <w:sz w:val="24"/>
                <w:szCs w:val="24"/>
                <w:u w:val="none"/>
              </w:rPr>
            </w:pPr>
          </w:p>
        </w:tc>
      </w:tr>
      <w:tr w14:paraId="2E440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A38359">
            <w:pPr>
              <w:jc w:val="center"/>
              <w:rPr>
                <w:rFonts w:hint="eastAsia" w:ascii="宋体" w:hAnsi="宋体" w:eastAsia="宋体" w:cs="宋体"/>
                <w:b/>
                <w:bCs/>
                <w:i w:val="0"/>
                <w:iCs w:val="0"/>
                <w:color w:val="000000"/>
                <w:sz w:val="24"/>
                <w:szCs w:val="24"/>
                <w:u w:val="none"/>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AB8E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资料档案管理</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8F8B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工作内容、资料是否记录齐全，投诉处理、回复是否及时</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C6A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45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8FCF7">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F4CC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7A321">
            <w:pPr>
              <w:rPr>
                <w:rFonts w:hint="eastAsia" w:ascii="宋体" w:hAnsi="宋体" w:eastAsia="宋体" w:cs="宋体"/>
                <w:i w:val="0"/>
                <w:iCs w:val="0"/>
                <w:color w:val="000000"/>
                <w:sz w:val="24"/>
                <w:szCs w:val="24"/>
                <w:u w:val="none"/>
              </w:rPr>
            </w:pPr>
          </w:p>
        </w:tc>
      </w:tr>
      <w:tr w14:paraId="2783E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573E5">
            <w:pPr>
              <w:jc w:val="center"/>
              <w:rPr>
                <w:rFonts w:hint="eastAsia" w:ascii="宋体" w:hAnsi="宋体" w:eastAsia="宋体" w:cs="宋体"/>
                <w:b/>
                <w:bCs/>
                <w:i w:val="0"/>
                <w:iCs w:val="0"/>
                <w:color w:val="000000"/>
                <w:sz w:val="24"/>
                <w:szCs w:val="24"/>
                <w:u w:val="none"/>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C2EA1">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E318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甲方要求的各类档案资料的整理、汇总、上报是否及时，有无迟报、漏报、错报现象</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A43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E0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6B56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BBDD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D4388">
            <w:pPr>
              <w:rPr>
                <w:rFonts w:hint="eastAsia" w:ascii="宋体" w:hAnsi="宋体" w:eastAsia="宋体" w:cs="宋体"/>
                <w:i w:val="0"/>
                <w:iCs w:val="0"/>
                <w:color w:val="000000"/>
                <w:sz w:val="24"/>
                <w:szCs w:val="24"/>
                <w:u w:val="none"/>
              </w:rPr>
            </w:pPr>
          </w:p>
        </w:tc>
      </w:tr>
      <w:tr w14:paraId="5EAE8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9DEFB">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6E6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秩序保障</w:t>
            </w: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437B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是否定期对绿地进行巡查，及时发现并纠正各类违反绿地管理规定的行为；是否配合甲方完成绿地秩序维护工作</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9FA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CAA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9A9D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097A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A9C46">
            <w:pPr>
              <w:rPr>
                <w:rFonts w:hint="eastAsia" w:ascii="宋体" w:hAnsi="宋体" w:eastAsia="宋体" w:cs="宋体"/>
                <w:i w:val="0"/>
                <w:iCs w:val="0"/>
                <w:color w:val="000000"/>
                <w:sz w:val="24"/>
                <w:szCs w:val="24"/>
                <w:u w:val="none"/>
              </w:rPr>
            </w:pPr>
          </w:p>
        </w:tc>
      </w:tr>
      <w:tr w14:paraId="23BF1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0" w:hRule="atLeast"/>
          <w:jc w:val="center"/>
        </w:trPr>
        <w:tc>
          <w:tcPr>
            <w:tcW w:w="12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3889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w:t>
            </w:r>
          </w:p>
        </w:tc>
        <w:tc>
          <w:tcPr>
            <w:tcW w:w="1365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5FD43F">
            <w:pPr>
              <w:jc w:val="center"/>
              <w:rPr>
                <w:rFonts w:hint="eastAsia" w:ascii="宋体" w:hAnsi="宋体" w:eastAsia="宋体" w:cs="宋体"/>
                <w:i w:val="0"/>
                <w:iCs w:val="0"/>
                <w:color w:val="000000"/>
                <w:sz w:val="24"/>
                <w:szCs w:val="24"/>
                <w:u w:val="none"/>
              </w:rPr>
            </w:pPr>
          </w:p>
        </w:tc>
      </w:tr>
      <w:tr w14:paraId="059E9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1218" w:type="dxa"/>
            <w:vMerge w:val="restart"/>
            <w:tcBorders>
              <w:top w:val="single" w:color="000000" w:sz="4" w:space="0"/>
              <w:left w:val="single" w:color="000000" w:sz="4" w:space="0"/>
              <w:bottom w:val="nil"/>
              <w:right w:val="single" w:color="000000" w:sz="4" w:space="0"/>
            </w:tcBorders>
            <w:shd w:val="clear" w:color="auto" w:fill="auto"/>
            <w:vAlign w:val="center"/>
          </w:tcPr>
          <w:p w14:paraId="5BE44341">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附加扣分</w:t>
            </w:r>
          </w:p>
          <w:p w14:paraId="12F2E10F">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（15分）</w:t>
            </w: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46D631A2">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3FCA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1.未按时整改甲方、监理提出的问题</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05537A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DBF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扣5分/次</w:t>
            </w:r>
          </w:p>
        </w:tc>
        <w:tc>
          <w:tcPr>
            <w:tcW w:w="1144" w:type="dxa"/>
            <w:tcBorders>
              <w:top w:val="single" w:color="000000" w:sz="4" w:space="0"/>
              <w:left w:val="nil"/>
              <w:bottom w:val="single" w:color="000000" w:sz="4" w:space="0"/>
              <w:right w:val="nil"/>
            </w:tcBorders>
            <w:shd w:val="clear" w:color="auto" w:fill="auto"/>
            <w:vAlign w:val="center"/>
          </w:tcPr>
          <w:p w14:paraId="1DC94111">
            <w:pPr>
              <w:jc w:val="center"/>
              <w:rPr>
                <w:rFonts w:hint="eastAsia" w:ascii="宋体" w:hAnsi="宋体" w:eastAsia="宋体" w:cs="宋体"/>
                <w:i w:val="0"/>
                <w:iCs w:val="0"/>
                <w:color w:val="000000"/>
                <w:sz w:val="24"/>
                <w:szCs w:val="24"/>
                <w:u w:val="none"/>
              </w:rPr>
            </w:pPr>
          </w:p>
        </w:tc>
        <w:tc>
          <w:tcPr>
            <w:tcW w:w="1144" w:type="dxa"/>
            <w:tcBorders>
              <w:top w:val="single" w:color="000000" w:sz="4" w:space="0"/>
              <w:left w:val="nil"/>
              <w:bottom w:val="single" w:color="000000" w:sz="4" w:space="0"/>
              <w:right w:val="nil"/>
            </w:tcBorders>
            <w:shd w:val="clear" w:color="auto" w:fill="auto"/>
            <w:vAlign w:val="center"/>
          </w:tcPr>
          <w:p w14:paraId="10349C9A">
            <w:pPr>
              <w:jc w:val="center"/>
              <w:rPr>
                <w:rFonts w:hint="eastAsia" w:ascii="宋体" w:hAnsi="宋体" w:eastAsia="宋体" w:cs="宋体"/>
                <w:i w:val="0"/>
                <w:iCs w:val="0"/>
                <w:color w:val="000000"/>
                <w:sz w:val="24"/>
                <w:szCs w:val="24"/>
                <w:u w:val="none"/>
              </w:rPr>
            </w:pPr>
          </w:p>
        </w:tc>
        <w:tc>
          <w:tcPr>
            <w:tcW w:w="1144" w:type="dxa"/>
            <w:tcBorders>
              <w:top w:val="single" w:color="000000" w:sz="4" w:space="0"/>
              <w:left w:val="nil"/>
              <w:bottom w:val="single" w:color="000000" w:sz="4" w:space="0"/>
              <w:right w:val="single" w:color="000000" w:sz="4" w:space="0"/>
            </w:tcBorders>
            <w:shd w:val="clear" w:color="auto" w:fill="auto"/>
            <w:vAlign w:val="center"/>
          </w:tcPr>
          <w:p w14:paraId="277D0CC6">
            <w:pPr>
              <w:jc w:val="center"/>
              <w:rPr>
                <w:rFonts w:hint="eastAsia" w:ascii="宋体" w:hAnsi="宋体" w:eastAsia="宋体" w:cs="宋体"/>
                <w:i w:val="0"/>
                <w:iCs w:val="0"/>
                <w:color w:val="000000"/>
                <w:sz w:val="24"/>
                <w:szCs w:val="24"/>
                <w:u w:val="none"/>
              </w:rPr>
            </w:pPr>
          </w:p>
        </w:tc>
      </w:tr>
      <w:tr w14:paraId="5F18C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nil"/>
              <w:right w:val="single" w:color="000000" w:sz="4" w:space="0"/>
            </w:tcBorders>
            <w:shd w:val="clear" w:color="auto" w:fill="auto"/>
            <w:vAlign w:val="center"/>
          </w:tcPr>
          <w:p w14:paraId="1F05D194">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73502D20">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4F44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2.养护范围内发现违规占绿毁绿现象未及时上报或制止</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7849FA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7EB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F6E5B">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45D7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CEF70">
            <w:pPr>
              <w:rPr>
                <w:rFonts w:hint="eastAsia" w:ascii="宋体" w:hAnsi="宋体" w:eastAsia="宋体" w:cs="宋体"/>
                <w:i w:val="0"/>
                <w:iCs w:val="0"/>
                <w:color w:val="000000"/>
                <w:sz w:val="24"/>
                <w:szCs w:val="24"/>
                <w:u w:val="none"/>
              </w:rPr>
            </w:pPr>
          </w:p>
        </w:tc>
      </w:tr>
      <w:tr w14:paraId="115AC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nil"/>
              <w:right w:val="single" w:color="000000" w:sz="4" w:space="0"/>
            </w:tcBorders>
            <w:shd w:val="clear" w:color="auto" w:fill="auto"/>
            <w:vAlign w:val="center"/>
          </w:tcPr>
          <w:p w14:paraId="5B23D3B1">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6D9657C6">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908C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3.被媒体曝光或上级领导检查时通报批评，及时整改扣2分/次；不能及时整改加倍扣分</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7C244A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FD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C594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AA9EF">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DA30F">
            <w:pPr>
              <w:rPr>
                <w:rFonts w:hint="eastAsia" w:ascii="宋体" w:hAnsi="宋体" w:eastAsia="宋体" w:cs="宋体"/>
                <w:i w:val="0"/>
                <w:iCs w:val="0"/>
                <w:color w:val="000000"/>
                <w:sz w:val="24"/>
                <w:szCs w:val="24"/>
                <w:u w:val="none"/>
              </w:rPr>
            </w:pPr>
          </w:p>
        </w:tc>
      </w:tr>
      <w:tr w14:paraId="7F563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nil"/>
              <w:right w:val="single" w:color="000000" w:sz="4" w:space="0"/>
            </w:tcBorders>
            <w:shd w:val="clear" w:color="auto" w:fill="auto"/>
            <w:vAlign w:val="center"/>
          </w:tcPr>
          <w:p w14:paraId="38105BBD">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70EE709D">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8557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4.每月企业自行上报两条精品道路，月底综合考评不合格</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689AD2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6D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088C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B8DCC">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F59A0">
            <w:pPr>
              <w:rPr>
                <w:rFonts w:hint="eastAsia" w:ascii="宋体" w:hAnsi="宋体" w:eastAsia="宋体" w:cs="宋体"/>
                <w:i w:val="0"/>
                <w:iCs w:val="0"/>
                <w:color w:val="000000"/>
                <w:sz w:val="24"/>
                <w:szCs w:val="24"/>
                <w:u w:val="none"/>
              </w:rPr>
            </w:pPr>
          </w:p>
        </w:tc>
      </w:tr>
      <w:tr w14:paraId="6218A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nil"/>
              <w:right w:val="single" w:color="000000" w:sz="4" w:space="0"/>
            </w:tcBorders>
            <w:shd w:val="clear" w:color="auto" w:fill="auto"/>
            <w:vAlign w:val="center"/>
          </w:tcPr>
          <w:p w14:paraId="0EAFD9F9">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16034296">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C240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5.重大活动、集中整治工作期间未按时保质完成相关任务</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58CD7E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3F1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扣10分/次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5C9D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67748">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2249B">
            <w:pPr>
              <w:rPr>
                <w:rFonts w:hint="eastAsia" w:ascii="宋体" w:hAnsi="宋体" w:eastAsia="宋体" w:cs="宋体"/>
                <w:i w:val="0"/>
                <w:iCs w:val="0"/>
                <w:color w:val="000000"/>
                <w:sz w:val="24"/>
                <w:szCs w:val="24"/>
                <w:u w:val="none"/>
              </w:rPr>
            </w:pPr>
          </w:p>
        </w:tc>
      </w:tr>
      <w:tr w14:paraId="6AAAD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4076AF">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附加奖励</w:t>
            </w:r>
          </w:p>
          <w:p w14:paraId="740492F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（15分）</w:t>
            </w: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4C99C391">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680A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1.被媒体或上级领导通报表扬</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366115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B9D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AEEC9">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C03B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1B6D2">
            <w:pPr>
              <w:rPr>
                <w:rFonts w:hint="eastAsia" w:ascii="宋体" w:hAnsi="宋体" w:eastAsia="宋体" w:cs="宋体"/>
                <w:i w:val="0"/>
                <w:iCs w:val="0"/>
                <w:color w:val="000000"/>
                <w:sz w:val="24"/>
                <w:szCs w:val="24"/>
                <w:u w:val="none"/>
              </w:rPr>
            </w:pPr>
          </w:p>
        </w:tc>
      </w:tr>
      <w:tr w14:paraId="377AB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90A5B1">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5B794575">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EBEC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2.每月上报两条精品道路，月底综合考评优秀</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20ECDD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8BB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81F41">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027CA">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F3B3C">
            <w:pPr>
              <w:rPr>
                <w:rFonts w:hint="eastAsia" w:ascii="宋体" w:hAnsi="宋体" w:eastAsia="宋体" w:cs="宋体"/>
                <w:i w:val="0"/>
                <w:iCs w:val="0"/>
                <w:color w:val="000000"/>
                <w:sz w:val="24"/>
                <w:szCs w:val="24"/>
                <w:u w:val="none"/>
              </w:rPr>
            </w:pPr>
          </w:p>
        </w:tc>
      </w:tr>
      <w:tr w14:paraId="475F4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D9028">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nil"/>
            </w:tcBorders>
            <w:shd w:val="clear" w:color="auto" w:fill="auto"/>
            <w:vAlign w:val="center"/>
          </w:tcPr>
          <w:p w14:paraId="1AE71F05">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E2B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3.在应急处置工作中服从统一安排，响应、处置及时</w:t>
            </w:r>
          </w:p>
        </w:tc>
        <w:tc>
          <w:tcPr>
            <w:tcW w:w="806" w:type="dxa"/>
            <w:tcBorders>
              <w:top w:val="single" w:color="000000" w:sz="4" w:space="0"/>
              <w:left w:val="nil"/>
              <w:bottom w:val="single" w:color="000000" w:sz="4" w:space="0"/>
              <w:right w:val="single" w:color="000000" w:sz="4" w:space="0"/>
            </w:tcBorders>
            <w:shd w:val="clear" w:color="auto" w:fill="auto"/>
            <w:vAlign w:val="center"/>
          </w:tcPr>
          <w:p w14:paraId="5A370B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0AC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加5分/次</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6EC45">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380E0">
            <w:pPr>
              <w:rPr>
                <w:rFonts w:hint="eastAsia" w:ascii="宋体" w:hAnsi="宋体" w:eastAsia="宋体" w:cs="宋体"/>
                <w:i w:val="0"/>
                <w:iCs w:val="0"/>
                <w:color w:val="000000"/>
                <w:sz w:val="24"/>
                <w:szCs w:val="24"/>
                <w:u w:val="none"/>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FC557">
            <w:pPr>
              <w:rPr>
                <w:rFonts w:hint="eastAsia" w:ascii="宋体" w:hAnsi="宋体" w:eastAsia="宋体" w:cs="宋体"/>
                <w:i w:val="0"/>
                <w:iCs w:val="0"/>
                <w:color w:val="000000"/>
                <w:sz w:val="24"/>
                <w:szCs w:val="24"/>
                <w:u w:val="none"/>
              </w:rPr>
            </w:pPr>
          </w:p>
        </w:tc>
      </w:tr>
      <w:tr w14:paraId="7E035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2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01FF">
            <w:pPr>
              <w:jc w:val="center"/>
              <w:rPr>
                <w:rFonts w:hint="eastAsia" w:ascii="宋体" w:hAnsi="宋体" w:eastAsia="宋体" w:cs="宋体"/>
                <w:b/>
                <w:bCs/>
                <w:i w:val="0"/>
                <w:iCs w:val="0"/>
                <w:color w:val="000000"/>
                <w:sz w:val="24"/>
                <w:szCs w:val="24"/>
                <w:u w:val="none"/>
              </w:rPr>
            </w:pPr>
          </w:p>
        </w:tc>
        <w:tc>
          <w:tcPr>
            <w:tcW w:w="14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82A1B">
            <w:pPr>
              <w:jc w:val="center"/>
              <w:rPr>
                <w:rFonts w:hint="eastAsia" w:ascii="宋体" w:hAnsi="宋体" w:eastAsia="宋体" w:cs="宋体"/>
                <w:i w:val="0"/>
                <w:iCs w:val="0"/>
                <w:color w:val="000000"/>
                <w:sz w:val="24"/>
                <w:szCs w:val="24"/>
                <w:u w:val="none"/>
              </w:rPr>
            </w:pPr>
          </w:p>
        </w:tc>
        <w:tc>
          <w:tcPr>
            <w:tcW w:w="6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74A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4.重大活动、集中整治工作期间按时保质完成相关任务</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1CB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0DB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加5分/次</w:t>
            </w:r>
          </w:p>
        </w:tc>
        <w:tc>
          <w:tcPr>
            <w:tcW w:w="1144" w:type="dxa"/>
            <w:tcBorders>
              <w:top w:val="single" w:color="000000" w:sz="4" w:space="0"/>
              <w:left w:val="nil"/>
              <w:bottom w:val="single" w:color="000000" w:sz="4" w:space="0"/>
              <w:right w:val="nil"/>
            </w:tcBorders>
            <w:shd w:val="clear" w:color="auto" w:fill="auto"/>
            <w:vAlign w:val="center"/>
          </w:tcPr>
          <w:p w14:paraId="7BFB599E">
            <w:pPr>
              <w:rPr>
                <w:rFonts w:hint="eastAsia" w:ascii="宋体" w:hAnsi="宋体" w:eastAsia="宋体" w:cs="宋体"/>
                <w:i w:val="0"/>
                <w:iCs w:val="0"/>
                <w:color w:val="000000"/>
                <w:sz w:val="24"/>
                <w:szCs w:val="24"/>
                <w:u w:val="none"/>
              </w:rPr>
            </w:pPr>
          </w:p>
        </w:tc>
        <w:tc>
          <w:tcPr>
            <w:tcW w:w="1144" w:type="dxa"/>
            <w:tcBorders>
              <w:top w:val="single" w:color="000000" w:sz="4" w:space="0"/>
              <w:left w:val="nil"/>
              <w:bottom w:val="single" w:color="000000" w:sz="4" w:space="0"/>
              <w:right w:val="nil"/>
            </w:tcBorders>
            <w:shd w:val="clear" w:color="auto" w:fill="auto"/>
            <w:vAlign w:val="center"/>
          </w:tcPr>
          <w:p w14:paraId="1D11E677">
            <w:pPr>
              <w:rPr>
                <w:rFonts w:hint="eastAsia" w:ascii="宋体" w:hAnsi="宋体" w:eastAsia="宋体" w:cs="宋体"/>
                <w:i w:val="0"/>
                <w:iCs w:val="0"/>
                <w:color w:val="000000"/>
                <w:sz w:val="24"/>
                <w:szCs w:val="24"/>
                <w:u w:val="none"/>
              </w:rPr>
            </w:pPr>
          </w:p>
        </w:tc>
        <w:tc>
          <w:tcPr>
            <w:tcW w:w="1144" w:type="dxa"/>
            <w:tcBorders>
              <w:top w:val="single" w:color="000000" w:sz="4" w:space="0"/>
              <w:left w:val="nil"/>
              <w:bottom w:val="single" w:color="000000" w:sz="4" w:space="0"/>
              <w:right w:val="single" w:color="000000" w:sz="4" w:space="0"/>
            </w:tcBorders>
            <w:shd w:val="clear" w:color="auto" w:fill="auto"/>
            <w:vAlign w:val="center"/>
          </w:tcPr>
          <w:p w14:paraId="26F03CD8">
            <w:pPr>
              <w:rPr>
                <w:rFonts w:hint="eastAsia" w:ascii="宋体" w:hAnsi="宋体" w:eastAsia="宋体" w:cs="宋体"/>
                <w:i w:val="0"/>
                <w:iCs w:val="0"/>
                <w:color w:val="000000"/>
                <w:sz w:val="24"/>
                <w:szCs w:val="24"/>
                <w:u w:val="none"/>
              </w:rPr>
            </w:pPr>
          </w:p>
        </w:tc>
      </w:tr>
      <w:tr w14:paraId="17AC2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jc w:val="center"/>
        </w:trPr>
        <w:tc>
          <w:tcPr>
            <w:tcW w:w="12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0721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最终得分</w:t>
            </w:r>
          </w:p>
        </w:tc>
        <w:tc>
          <w:tcPr>
            <w:tcW w:w="1365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901E1C1">
            <w:pPr>
              <w:jc w:val="center"/>
              <w:rPr>
                <w:rFonts w:hint="eastAsia" w:ascii="宋体" w:hAnsi="宋体" w:eastAsia="宋体" w:cs="宋体"/>
                <w:i w:val="0"/>
                <w:iCs w:val="0"/>
                <w:color w:val="000000"/>
                <w:sz w:val="24"/>
                <w:szCs w:val="24"/>
                <w:u w:val="none"/>
              </w:rPr>
            </w:pPr>
          </w:p>
        </w:tc>
      </w:tr>
      <w:tr w14:paraId="51E43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12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6420">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检查人</w:t>
            </w:r>
          </w:p>
        </w:tc>
        <w:tc>
          <w:tcPr>
            <w:tcW w:w="82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291719">
            <w:pPr>
              <w:jc w:val="center"/>
              <w:rPr>
                <w:rFonts w:hint="eastAsia" w:ascii="宋体" w:hAnsi="宋体" w:eastAsia="宋体" w:cs="宋体"/>
                <w:i w:val="0"/>
                <w:iCs w:val="0"/>
                <w:color w:val="000000"/>
                <w:sz w:val="24"/>
                <w:szCs w:val="24"/>
                <w:u w:val="none"/>
              </w:rPr>
            </w:pPr>
          </w:p>
        </w:tc>
        <w:tc>
          <w:tcPr>
            <w:tcW w:w="198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B2FB40">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检查时间</w:t>
            </w:r>
          </w:p>
        </w:tc>
        <w:tc>
          <w:tcPr>
            <w:tcW w:w="343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7C7F6F">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年    月     日</w:t>
            </w:r>
          </w:p>
        </w:tc>
      </w:tr>
    </w:tbl>
    <w:p w14:paraId="29CCEC4E">
      <w:pPr>
        <w:pStyle w:val="9"/>
        <w:ind w:left="0" w:firstLine="0" w:firstLineChars="0"/>
        <w:rPr>
          <w:rFonts w:hint="eastAsia" w:eastAsiaTheme="minorEastAsia"/>
          <w:lang w:eastAsia="zh-CN"/>
        </w:rPr>
      </w:pPr>
    </w:p>
    <w:sectPr>
      <w:pgSz w:w="16838" w:h="11906" w:orient="landscape"/>
      <w:pgMar w:top="1588" w:right="1814" w:bottom="1474" w:left="1588"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C08B00">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4342D66">
                          <w:pPr>
                            <w:pStyle w:val="2"/>
                          </w:pPr>
                          <w:r>
                            <w:t xml:space="preserve">— </w:t>
                          </w:r>
                          <w:r>
                            <w:fldChar w:fldCharType="begin"/>
                          </w:r>
                          <w:r>
                            <w:instrText xml:space="preserve"> PAGE  \* MERGEFORMAT </w:instrText>
                          </w:r>
                          <w:r>
                            <w:fldChar w:fldCharType="separate"/>
                          </w:r>
                          <w:r>
                            <w:t>1</w:t>
                          </w:r>
                          <w:r>
                            <w:fldChar w:fldCharType="end"/>
                          </w:r>
                          <w: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74342D66">
                    <w:pPr>
                      <w:pStyle w:val="2"/>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738D5">
    <w:pPr>
      <w:pStyle w:val="5"/>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150AF2"/>
    <w:multiLevelType w:val="singleLevel"/>
    <w:tmpl w:val="A7150AF2"/>
    <w:lvl w:ilvl="0" w:tentative="0">
      <w:start w:val="1"/>
      <w:numFmt w:val="decimal"/>
      <w:suff w:val="nothing"/>
      <w:lvlText w:val="（%1）"/>
      <w:lvlJc w:val="left"/>
    </w:lvl>
  </w:abstractNum>
  <w:abstractNum w:abstractNumId="1">
    <w:nsid w:val="DBFB981F"/>
    <w:multiLevelType w:val="singleLevel"/>
    <w:tmpl w:val="DBFB981F"/>
    <w:lvl w:ilvl="0" w:tentative="0">
      <w:start w:val="1"/>
      <w:numFmt w:val="decimal"/>
      <w:suff w:val="nothing"/>
      <w:lvlText w:val="（%1）"/>
      <w:lvlJc w:val="left"/>
    </w:lvl>
  </w:abstractNum>
  <w:abstractNum w:abstractNumId="2">
    <w:nsid w:val="581EA4A3"/>
    <w:multiLevelType w:val="singleLevel"/>
    <w:tmpl w:val="581EA4A3"/>
    <w:lvl w:ilvl="0" w:tentative="0">
      <w:start w:val="5"/>
      <w:numFmt w:val="decimal"/>
      <w:suff w:val="nothing"/>
      <w:lvlText w:val="%1、"/>
      <w:lvlJc w:val="left"/>
    </w:lvl>
  </w:abstractNum>
  <w:abstractNum w:abstractNumId="3">
    <w:nsid w:val="7186B1DD"/>
    <w:multiLevelType w:val="singleLevel"/>
    <w:tmpl w:val="7186B1DD"/>
    <w:lvl w:ilvl="0" w:tentative="0">
      <w:start w:val="7"/>
      <w:numFmt w:val="decimal"/>
      <w:suff w:val="nothing"/>
      <w:lvlText w:val="（%1）"/>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hjZjk3MDBmZGRlYzlmZTU0MGEwMmNkZTM3MTViZGQifQ=="/>
    <w:docVar w:name="KSO_WPS_MARK_KEY" w:val="25790175-824b-480b-9c99-7bb03963ff51"/>
  </w:docVars>
  <w:rsids>
    <w:rsidRoot w:val="5B0D405A"/>
    <w:rsid w:val="00111F5E"/>
    <w:rsid w:val="001B7986"/>
    <w:rsid w:val="003A1CD5"/>
    <w:rsid w:val="004D0FA3"/>
    <w:rsid w:val="00530B56"/>
    <w:rsid w:val="006A35A7"/>
    <w:rsid w:val="0074106B"/>
    <w:rsid w:val="0090095B"/>
    <w:rsid w:val="00971D19"/>
    <w:rsid w:val="00985A80"/>
    <w:rsid w:val="009C396F"/>
    <w:rsid w:val="00A87B1C"/>
    <w:rsid w:val="00AE12ED"/>
    <w:rsid w:val="00B941F6"/>
    <w:rsid w:val="00C50976"/>
    <w:rsid w:val="00C669FB"/>
    <w:rsid w:val="00C91FF9"/>
    <w:rsid w:val="00D04F61"/>
    <w:rsid w:val="00D20B4D"/>
    <w:rsid w:val="00D52265"/>
    <w:rsid w:val="00E86A38"/>
    <w:rsid w:val="00F73667"/>
    <w:rsid w:val="00F8215B"/>
    <w:rsid w:val="010807DB"/>
    <w:rsid w:val="017674B3"/>
    <w:rsid w:val="01BD38B8"/>
    <w:rsid w:val="01DF79C5"/>
    <w:rsid w:val="026926F8"/>
    <w:rsid w:val="02A04DB7"/>
    <w:rsid w:val="02F97A5F"/>
    <w:rsid w:val="02FD0AFA"/>
    <w:rsid w:val="03103BAE"/>
    <w:rsid w:val="033C0E47"/>
    <w:rsid w:val="03500781"/>
    <w:rsid w:val="03870314"/>
    <w:rsid w:val="03C70711"/>
    <w:rsid w:val="04332C55"/>
    <w:rsid w:val="043833BC"/>
    <w:rsid w:val="04386014"/>
    <w:rsid w:val="04B57895"/>
    <w:rsid w:val="04ED23F9"/>
    <w:rsid w:val="05704DD8"/>
    <w:rsid w:val="05F72E03"/>
    <w:rsid w:val="06011DE3"/>
    <w:rsid w:val="064A5629"/>
    <w:rsid w:val="06A4401B"/>
    <w:rsid w:val="06E65352"/>
    <w:rsid w:val="076C3B7B"/>
    <w:rsid w:val="07774884"/>
    <w:rsid w:val="07D7113E"/>
    <w:rsid w:val="07F56E32"/>
    <w:rsid w:val="0854278F"/>
    <w:rsid w:val="088F7561"/>
    <w:rsid w:val="08A53FEF"/>
    <w:rsid w:val="08B43EB3"/>
    <w:rsid w:val="08DE1AF7"/>
    <w:rsid w:val="09961FDC"/>
    <w:rsid w:val="099E1F14"/>
    <w:rsid w:val="09E85132"/>
    <w:rsid w:val="0A856C30"/>
    <w:rsid w:val="0B0E4E77"/>
    <w:rsid w:val="0B21104E"/>
    <w:rsid w:val="0D0745C0"/>
    <w:rsid w:val="0D2475CE"/>
    <w:rsid w:val="0D3C2711"/>
    <w:rsid w:val="0DA7097E"/>
    <w:rsid w:val="0E116E7B"/>
    <w:rsid w:val="0EE42683"/>
    <w:rsid w:val="0EFE3668"/>
    <w:rsid w:val="0F245F5A"/>
    <w:rsid w:val="0F7966ED"/>
    <w:rsid w:val="0F930041"/>
    <w:rsid w:val="0FDB6AF1"/>
    <w:rsid w:val="0FE13A02"/>
    <w:rsid w:val="0FE23CB5"/>
    <w:rsid w:val="10C04E65"/>
    <w:rsid w:val="110C3C07"/>
    <w:rsid w:val="119274F2"/>
    <w:rsid w:val="11C24566"/>
    <w:rsid w:val="11D13377"/>
    <w:rsid w:val="11FC724E"/>
    <w:rsid w:val="12922832"/>
    <w:rsid w:val="12C71010"/>
    <w:rsid w:val="13511DA5"/>
    <w:rsid w:val="13B46957"/>
    <w:rsid w:val="13D013B1"/>
    <w:rsid w:val="14186D67"/>
    <w:rsid w:val="144917C3"/>
    <w:rsid w:val="146E55E2"/>
    <w:rsid w:val="14B338CD"/>
    <w:rsid w:val="152B4878"/>
    <w:rsid w:val="154C263F"/>
    <w:rsid w:val="155A23B4"/>
    <w:rsid w:val="15C12788"/>
    <w:rsid w:val="15C72DBA"/>
    <w:rsid w:val="15CC1BB7"/>
    <w:rsid w:val="16341FD7"/>
    <w:rsid w:val="16695657"/>
    <w:rsid w:val="16707AF8"/>
    <w:rsid w:val="168D3A3C"/>
    <w:rsid w:val="16B86C5C"/>
    <w:rsid w:val="17303508"/>
    <w:rsid w:val="17386FA6"/>
    <w:rsid w:val="184F400C"/>
    <w:rsid w:val="18585C5D"/>
    <w:rsid w:val="18EA20AD"/>
    <w:rsid w:val="19153875"/>
    <w:rsid w:val="197611A4"/>
    <w:rsid w:val="19EF2318"/>
    <w:rsid w:val="1A244E5A"/>
    <w:rsid w:val="1A7171D0"/>
    <w:rsid w:val="1AAB26E2"/>
    <w:rsid w:val="1AE8565C"/>
    <w:rsid w:val="1B1A4EB8"/>
    <w:rsid w:val="1B3A5814"/>
    <w:rsid w:val="1B980200"/>
    <w:rsid w:val="1BEA548C"/>
    <w:rsid w:val="1C0E2F29"/>
    <w:rsid w:val="1C3600A0"/>
    <w:rsid w:val="1CC010CD"/>
    <w:rsid w:val="1CD67595"/>
    <w:rsid w:val="1D091942"/>
    <w:rsid w:val="1D0D31E0"/>
    <w:rsid w:val="1D104A7F"/>
    <w:rsid w:val="1D1C4FB7"/>
    <w:rsid w:val="1D556D07"/>
    <w:rsid w:val="1D9B0F68"/>
    <w:rsid w:val="1E0D0FBE"/>
    <w:rsid w:val="1EC975DB"/>
    <w:rsid w:val="1F0E718B"/>
    <w:rsid w:val="1F43738D"/>
    <w:rsid w:val="1FDE2C12"/>
    <w:rsid w:val="20686980"/>
    <w:rsid w:val="207437B4"/>
    <w:rsid w:val="20826F32"/>
    <w:rsid w:val="20B34C6B"/>
    <w:rsid w:val="20B80648"/>
    <w:rsid w:val="20CC6F0F"/>
    <w:rsid w:val="20FD17BE"/>
    <w:rsid w:val="21E14C3C"/>
    <w:rsid w:val="220939FF"/>
    <w:rsid w:val="220A5F40"/>
    <w:rsid w:val="221E19EC"/>
    <w:rsid w:val="226715E5"/>
    <w:rsid w:val="235A2C43"/>
    <w:rsid w:val="236E69A3"/>
    <w:rsid w:val="23BF6250"/>
    <w:rsid w:val="24023050"/>
    <w:rsid w:val="24305262"/>
    <w:rsid w:val="247B45A8"/>
    <w:rsid w:val="25173929"/>
    <w:rsid w:val="25537BFE"/>
    <w:rsid w:val="255B48FA"/>
    <w:rsid w:val="25BF7042"/>
    <w:rsid w:val="269C7383"/>
    <w:rsid w:val="26A61FB0"/>
    <w:rsid w:val="26A924BC"/>
    <w:rsid w:val="26CA0394"/>
    <w:rsid w:val="271E5FEA"/>
    <w:rsid w:val="275E53EF"/>
    <w:rsid w:val="276E5047"/>
    <w:rsid w:val="2796367C"/>
    <w:rsid w:val="27BE22C7"/>
    <w:rsid w:val="27C70430"/>
    <w:rsid w:val="27C87967"/>
    <w:rsid w:val="280C79A9"/>
    <w:rsid w:val="289F315B"/>
    <w:rsid w:val="28A56A72"/>
    <w:rsid w:val="28A91D55"/>
    <w:rsid w:val="28D252DE"/>
    <w:rsid w:val="290C07F0"/>
    <w:rsid w:val="295377DC"/>
    <w:rsid w:val="29537E8F"/>
    <w:rsid w:val="2A1110F2"/>
    <w:rsid w:val="2A6B1546"/>
    <w:rsid w:val="2A7A1A17"/>
    <w:rsid w:val="2B1574C3"/>
    <w:rsid w:val="2B3C2072"/>
    <w:rsid w:val="2B744B6F"/>
    <w:rsid w:val="2B93767F"/>
    <w:rsid w:val="2B960845"/>
    <w:rsid w:val="2C267E1B"/>
    <w:rsid w:val="2C6E0E69"/>
    <w:rsid w:val="2C9F3729"/>
    <w:rsid w:val="2D1F4553"/>
    <w:rsid w:val="2D52139A"/>
    <w:rsid w:val="2D524C40"/>
    <w:rsid w:val="2D915768"/>
    <w:rsid w:val="2D9C21B3"/>
    <w:rsid w:val="2E1172BC"/>
    <w:rsid w:val="2E291E44"/>
    <w:rsid w:val="2E714081"/>
    <w:rsid w:val="2EC41B6D"/>
    <w:rsid w:val="2EE31FF3"/>
    <w:rsid w:val="2EE93382"/>
    <w:rsid w:val="2FB055CC"/>
    <w:rsid w:val="30006F97"/>
    <w:rsid w:val="30850E88"/>
    <w:rsid w:val="30D14AC9"/>
    <w:rsid w:val="31552F50"/>
    <w:rsid w:val="316C0B69"/>
    <w:rsid w:val="32144BB9"/>
    <w:rsid w:val="323214DE"/>
    <w:rsid w:val="32655415"/>
    <w:rsid w:val="32A63F47"/>
    <w:rsid w:val="32BA6B5E"/>
    <w:rsid w:val="32F20BA1"/>
    <w:rsid w:val="33217A78"/>
    <w:rsid w:val="336458E2"/>
    <w:rsid w:val="337909C1"/>
    <w:rsid w:val="338D6157"/>
    <w:rsid w:val="33A7109B"/>
    <w:rsid w:val="340F7B58"/>
    <w:rsid w:val="34512C92"/>
    <w:rsid w:val="34CB1D70"/>
    <w:rsid w:val="3575771D"/>
    <w:rsid w:val="357F059C"/>
    <w:rsid w:val="3592207D"/>
    <w:rsid w:val="35B46720"/>
    <w:rsid w:val="364C567F"/>
    <w:rsid w:val="366C4FC4"/>
    <w:rsid w:val="366F0610"/>
    <w:rsid w:val="36891887"/>
    <w:rsid w:val="368D18BE"/>
    <w:rsid w:val="377D7185"/>
    <w:rsid w:val="37954057"/>
    <w:rsid w:val="37A442EA"/>
    <w:rsid w:val="37EA2644"/>
    <w:rsid w:val="3814321D"/>
    <w:rsid w:val="3818066F"/>
    <w:rsid w:val="38570AFB"/>
    <w:rsid w:val="387E56F1"/>
    <w:rsid w:val="38B90595"/>
    <w:rsid w:val="38C94A5D"/>
    <w:rsid w:val="38E928FC"/>
    <w:rsid w:val="391B5FB3"/>
    <w:rsid w:val="39243E48"/>
    <w:rsid w:val="3A2424FE"/>
    <w:rsid w:val="3A461688"/>
    <w:rsid w:val="3A642B26"/>
    <w:rsid w:val="3B1A7B88"/>
    <w:rsid w:val="3B3C30A7"/>
    <w:rsid w:val="3B5B73B5"/>
    <w:rsid w:val="3C9056B7"/>
    <w:rsid w:val="3CAE0AAB"/>
    <w:rsid w:val="3D871B9F"/>
    <w:rsid w:val="3D93195B"/>
    <w:rsid w:val="3DB056EF"/>
    <w:rsid w:val="3E313768"/>
    <w:rsid w:val="3EEA4CD8"/>
    <w:rsid w:val="3F261A88"/>
    <w:rsid w:val="3FAD61D1"/>
    <w:rsid w:val="40415103"/>
    <w:rsid w:val="408B6047"/>
    <w:rsid w:val="41AA2EB5"/>
    <w:rsid w:val="41ED20A3"/>
    <w:rsid w:val="42FB6FC1"/>
    <w:rsid w:val="4332051F"/>
    <w:rsid w:val="433B5034"/>
    <w:rsid w:val="43591CCF"/>
    <w:rsid w:val="4368524A"/>
    <w:rsid w:val="43E85480"/>
    <w:rsid w:val="440D0713"/>
    <w:rsid w:val="44B27A0F"/>
    <w:rsid w:val="44C77869"/>
    <w:rsid w:val="44EC0F3D"/>
    <w:rsid w:val="453509F4"/>
    <w:rsid w:val="456758D8"/>
    <w:rsid w:val="46161B46"/>
    <w:rsid w:val="46780E1B"/>
    <w:rsid w:val="46794B93"/>
    <w:rsid w:val="468A02BF"/>
    <w:rsid w:val="469F190B"/>
    <w:rsid w:val="46A47E0A"/>
    <w:rsid w:val="46DF533E"/>
    <w:rsid w:val="47501D98"/>
    <w:rsid w:val="47781BCD"/>
    <w:rsid w:val="48541414"/>
    <w:rsid w:val="48D22655"/>
    <w:rsid w:val="499E503D"/>
    <w:rsid w:val="49A9146D"/>
    <w:rsid w:val="49C10078"/>
    <w:rsid w:val="49E44F12"/>
    <w:rsid w:val="49FE0455"/>
    <w:rsid w:val="4A477482"/>
    <w:rsid w:val="4A5971B6"/>
    <w:rsid w:val="4AAE12AF"/>
    <w:rsid w:val="4B100586"/>
    <w:rsid w:val="4BB42C81"/>
    <w:rsid w:val="4BC265CD"/>
    <w:rsid w:val="4BCA7364"/>
    <w:rsid w:val="4BF11D4D"/>
    <w:rsid w:val="4C101AF6"/>
    <w:rsid w:val="4C42566B"/>
    <w:rsid w:val="4C72630D"/>
    <w:rsid w:val="4C73622A"/>
    <w:rsid w:val="4C830ED0"/>
    <w:rsid w:val="4CDB39C2"/>
    <w:rsid w:val="4CDD7C2A"/>
    <w:rsid w:val="4D2B038C"/>
    <w:rsid w:val="4D8D1839"/>
    <w:rsid w:val="4DC81C95"/>
    <w:rsid w:val="4DF369E6"/>
    <w:rsid w:val="4E4F4632"/>
    <w:rsid w:val="4E8314AE"/>
    <w:rsid w:val="4E8D048A"/>
    <w:rsid w:val="4EE31253"/>
    <w:rsid w:val="4F6E16E2"/>
    <w:rsid w:val="4F751524"/>
    <w:rsid w:val="506D5769"/>
    <w:rsid w:val="50A40332"/>
    <w:rsid w:val="51792985"/>
    <w:rsid w:val="51AA471F"/>
    <w:rsid w:val="51D21781"/>
    <w:rsid w:val="51D830B6"/>
    <w:rsid w:val="51F6003E"/>
    <w:rsid w:val="5203261E"/>
    <w:rsid w:val="525F10ED"/>
    <w:rsid w:val="52747B01"/>
    <w:rsid w:val="53D80EDC"/>
    <w:rsid w:val="540208BE"/>
    <w:rsid w:val="54890E82"/>
    <w:rsid w:val="54BA4CF5"/>
    <w:rsid w:val="54EB07A7"/>
    <w:rsid w:val="55102B67"/>
    <w:rsid w:val="551441D2"/>
    <w:rsid w:val="553928F3"/>
    <w:rsid w:val="557100CF"/>
    <w:rsid w:val="55904008"/>
    <w:rsid w:val="56065CDB"/>
    <w:rsid w:val="562543F0"/>
    <w:rsid w:val="56B75990"/>
    <w:rsid w:val="56B934B6"/>
    <w:rsid w:val="57596A47"/>
    <w:rsid w:val="578E42DB"/>
    <w:rsid w:val="579B1ED9"/>
    <w:rsid w:val="58030358"/>
    <w:rsid w:val="58171789"/>
    <w:rsid w:val="581B1F4E"/>
    <w:rsid w:val="587C29ED"/>
    <w:rsid w:val="58801DB1"/>
    <w:rsid w:val="58825B29"/>
    <w:rsid w:val="5887032B"/>
    <w:rsid w:val="5932754F"/>
    <w:rsid w:val="59710078"/>
    <w:rsid w:val="59844C8D"/>
    <w:rsid w:val="59851D75"/>
    <w:rsid w:val="5A8913F1"/>
    <w:rsid w:val="5AAE2526"/>
    <w:rsid w:val="5AD27FB7"/>
    <w:rsid w:val="5AD31123"/>
    <w:rsid w:val="5AF70A51"/>
    <w:rsid w:val="5B0D405A"/>
    <w:rsid w:val="5B556EF7"/>
    <w:rsid w:val="5B857E0A"/>
    <w:rsid w:val="5BC13CBD"/>
    <w:rsid w:val="5BC4185F"/>
    <w:rsid w:val="5CA93FCD"/>
    <w:rsid w:val="5DAD53F7"/>
    <w:rsid w:val="5DCB54EE"/>
    <w:rsid w:val="5DD72473"/>
    <w:rsid w:val="5E162F9C"/>
    <w:rsid w:val="5E714676"/>
    <w:rsid w:val="5EA1445C"/>
    <w:rsid w:val="5F3202A9"/>
    <w:rsid w:val="5F513936"/>
    <w:rsid w:val="5F68576B"/>
    <w:rsid w:val="601F3433"/>
    <w:rsid w:val="60763956"/>
    <w:rsid w:val="60912421"/>
    <w:rsid w:val="60AF651C"/>
    <w:rsid w:val="61345D76"/>
    <w:rsid w:val="61997898"/>
    <w:rsid w:val="61A30DFB"/>
    <w:rsid w:val="61B956A8"/>
    <w:rsid w:val="623D71A2"/>
    <w:rsid w:val="62865D12"/>
    <w:rsid w:val="62C103D3"/>
    <w:rsid w:val="62C84FCE"/>
    <w:rsid w:val="62D84CC4"/>
    <w:rsid w:val="62E95123"/>
    <w:rsid w:val="63076572"/>
    <w:rsid w:val="6471121A"/>
    <w:rsid w:val="64A500F0"/>
    <w:rsid w:val="64B330A9"/>
    <w:rsid w:val="650A6582"/>
    <w:rsid w:val="651A1474"/>
    <w:rsid w:val="6526083F"/>
    <w:rsid w:val="653A2ABD"/>
    <w:rsid w:val="65C97FE6"/>
    <w:rsid w:val="65D8295D"/>
    <w:rsid w:val="65EE0643"/>
    <w:rsid w:val="66216982"/>
    <w:rsid w:val="665079C6"/>
    <w:rsid w:val="665C017A"/>
    <w:rsid w:val="66A94523"/>
    <w:rsid w:val="66FE5F4E"/>
    <w:rsid w:val="67322330"/>
    <w:rsid w:val="679C6C08"/>
    <w:rsid w:val="679D028A"/>
    <w:rsid w:val="67BC0C30"/>
    <w:rsid w:val="67E42868"/>
    <w:rsid w:val="6832380E"/>
    <w:rsid w:val="68841407"/>
    <w:rsid w:val="69077E16"/>
    <w:rsid w:val="69320EA6"/>
    <w:rsid w:val="694617D8"/>
    <w:rsid w:val="696375B6"/>
    <w:rsid w:val="696E0130"/>
    <w:rsid w:val="697675C8"/>
    <w:rsid w:val="69967687"/>
    <w:rsid w:val="6A9051B8"/>
    <w:rsid w:val="6AE6019A"/>
    <w:rsid w:val="6B2A5B4A"/>
    <w:rsid w:val="6B5C18DF"/>
    <w:rsid w:val="6B906B0F"/>
    <w:rsid w:val="6B9C0A23"/>
    <w:rsid w:val="6B9E0A74"/>
    <w:rsid w:val="6BB91EB4"/>
    <w:rsid w:val="6BDD0871"/>
    <w:rsid w:val="6C0E0FD1"/>
    <w:rsid w:val="6C6302D2"/>
    <w:rsid w:val="6C81399E"/>
    <w:rsid w:val="6CE95D1F"/>
    <w:rsid w:val="6CFE0684"/>
    <w:rsid w:val="6DDE7E85"/>
    <w:rsid w:val="6ED50C51"/>
    <w:rsid w:val="6F0F4163"/>
    <w:rsid w:val="6F551878"/>
    <w:rsid w:val="6F7B54C0"/>
    <w:rsid w:val="6F9172D1"/>
    <w:rsid w:val="6FB46AB9"/>
    <w:rsid w:val="700F537C"/>
    <w:rsid w:val="70B52AE8"/>
    <w:rsid w:val="70C366B0"/>
    <w:rsid w:val="71283BE3"/>
    <w:rsid w:val="712B4706"/>
    <w:rsid w:val="71496D59"/>
    <w:rsid w:val="71834994"/>
    <w:rsid w:val="71871854"/>
    <w:rsid w:val="719941B8"/>
    <w:rsid w:val="71AA2992"/>
    <w:rsid w:val="71B2527A"/>
    <w:rsid w:val="71DA3917"/>
    <w:rsid w:val="72347D73"/>
    <w:rsid w:val="729A3A51"/>
    <w:rsid w:val="729A3D44"/>
    <w:rsid w:val="72A77E7B"/>
    <w:rsid w:val="72EF1539"/>
    <w:rsid w:val="73991412"/>
    <w:rsid w:val="73A74179"/>
    <w:rsid w:val="73CB617F"/>
    <w:rsid w:val="74344461"/>
    <w:rsid w:val="74743626"/>
    <w:rsid w:val="74980757"/>
    <w:rsid w:val="749A44CF"/>
    <w:rsid w:val="749E5641"/>
    <w:rsid w:val="74AC5227"/>
    <w:rsid w:val="75120509"/>
    <w:rsid w:val="75854C74"/>
    <w:rsid w:val="759639F7"/>
    <w:rsid w:val="75D00120"/>
    <w:rsid w:val="767501D9"/>
    <w:rsid w:val="771117AB"/>
    <w:rsid w:val="774C75D7"/>
    <w:rsid w:val="77A716E3"/>
    <w:rsid w:val="77B134E1"/>
    <w:rsid w:val="77DC6BAC"/>
    <w:rsid w:val="77F739E6"/>
    <w:rsid w:val="781223C7"/>
    <w:rsid w:val="783229AD"/>
    <w:rsid w:val="78DF42CE"/>
    <w:rsid w:val="79876FEC"/>
    <w:rsid w:val="798B6ADC"/>
    <w:rsid w:val="79EE0E19"/>
    <w:rsid w:val="79FC52E4"/>
    <w:rsid w:val="7A5A48A5"/>
    <w:rsid w:val="7ACD6C80"/>
    <w:rsid w:val="7B291874"/>
    <w:rsid w:val="7B4C5DF7"/>
    <w:rsid w:val="7BE91898"/>
    <w:rsid w:val="7C103148"/>
    <w:rsid w:val="7C4F1431"/>
    <w:rsid w:val="7C577450"/>
    <w:rsid w:val="7C9D6EB2"/>
    <w:rsid w:val="7CAE4B9D"/>
    <w:rsid w:val="7D210738"/>
    <w:rsid w:val="7DD02D0F"/>
    <w:rsid w:val="7E1F77F3"/>
    <w:rsid w:val="7E952C57"/>
    <w:rsid w:val="7EBB3767"/>
    <w:rsid w:val="7F175F8A"/>
    <w:rsid w:val="7F2350C1"/>
    <w:rsid w:val="7F69341C"/>
    <w:rsid w:val="7F941B2D"/>
    <w:rsid w:val="7FA43552"/>
    <w:rsid w:val="7FDE7B28"/>
    <w:rsid w:val="7FEE5D30"/>
    <w:rsid w:val="7FFC429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iPriority="31"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宋体" w:hAnsi="Times New Roman" w:eastAsia="宋体" w:cs="Times New Roman"/>
      <w:sz w:val="24"/>
      <w:lang w:val="en-US" w:eastAsia="zh-CN" w:bidi="ar-SA"/>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8"/>
    <w:qFormat/>
    <w:uiPriority w:val="99"/>
    <w:pPr>
      <w:tabs>
        <w:tab w:val="center" w:pos="4153"/>
        <w:tab w:val="right" w:pos="8306"/>
      </w:tabs>
      <w:snapToGrid w:val="0"/>
      <w:jc w:val="left"/>
    </w:pPr>
    <w:rPr>
      <w:sz w:val="18"/>
      <w:szCs w:val="18"/>
    </w:rPr>
  </w:style>
  <w:style w:type="paragraph" w:styleId="3">
    <w:name w:val="Normal Indent"/>
    <w:basedOn w:val="1"/>
    <w:next w:val="4"/>
    <w:qFormat/>
    <w:uiPriority w:val="0"/>
    <w:pPr>
      <w:spacing w:line="300" w:lineRule="auto"/>
      <w:ind w:firstLine="420" w:firstLineChars="200"/>
    </w:pPr>
    <w:rPr>
      <w:rFonts w:ascii="Times New Roman"/>
      <w:kern w:val="2"/>
      <w:sz w:val="21"/>
      <w:szCs w:val="24"/>
    </w:rPr>
  </w:style>
  <w:style w:type="paragraph" w:styleId="4">
    <w:name w:val="toc 4"/>
    <w:next w:val="1"/>
    <w:unhideWhenUsed/>
    <w:qFormat/>
    <w:uiPriority w:val="31"/>
    <w:pPr>
      <w:spacing w:line="400" w:lineRule="exact"/>
      <w:ind w:left="1275"/>
      <w:jc w:val="both"/>
    </w:pPr>
    <w:rPr>
      <w:rFonts w:ascii="Calibri" w:hAnsi="Calibri" w:eastAsia="宋体" w:cs="Times New Roman"/>
      <w:kern w:val="2"/>
      <w:sz w:val="21"/>
      <w:szCs w:val="21"/>
      <w:lang w:val="en-US" w:eastAsia="zh-CN" w:bidi="ar-SA"/>
    </w:rPr>
  </w:style>
  <w:style w:type="paragraph" w:styleId="5">
    <w:name w:val="Body Text"/>
    <w:basedOn w:val="1"/>
    <w:next w:val="1"/>
    <w:semiHidden/>
    <w:qFormat/>
    <w:uiPriority w:val="0"/>
    <w:rPr>
      <w:rFonts w:ascii="Arial" w:hAnsi="Arial" w:eastAsia="Arial" w:cs="Arial"/>
      <w:sz w:val="21"/>
      <w:szCs w:val="21"/>
      <w:lang w:val="en-US" w:eastAsia="en-US" w:bidi="ar-SA"/>
    </w:rPr>
  </w:style>
  <w:style w:type="paragraph" w:styleId="6">
    <w:name w:val="Body Text Indent"/>
    <w:basedOn w:val="1"/>
    <w:qFormat/>
    <w:uiPriority w:val="0"/>
    <w:pPr>
      <w:spacing w:line="360" w:lineRule="auto"/>
      <w:ind w:left="-103" w:firstLine="515"/>
    </w:pPr>
    <w:rPr>
      <w:rFonts w:ascii="宋体"/>
      <w:sz w:val="24"/>
      <w:szCs w:val="20"/>
    </w:rPr>
  </w:style>
  <w:style w:type="paragraph" w:styleId="7">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paragraph" w:styleId="9">
    <w:name w:val="Body Text First Indent 2"/>
    <w:basedOn w:val="6"/>
    <w:qFormat/>
    <w:uiPriority w:val="0"/>
    <w:pPr>
      <w:ind w:firstLine="420" w:firstLineChars="200"/>
    </w:pPr>
    <w:rPr>
      <w:szCs w:val="20"/>
    </w:rPr>
  </w:style>
  <w:style w:type="character" w:styleId="12">
    <w:name w:val="Strong"/>
    <w:basedOn w:val="11"/>
    <w:qFormat/>
    <w:uiPriority w:val="0"/>
    <w:rPr>
      <w:b/>
      <w:bCs/>
    </w:rPr>
  </w:style>
  <w:style w:type="character" w:styleId="13">
    <w:name w:val="Emphasis"/>
    <w:basedOn w:val="11"/>
    <w:qFormat/>
    <w:uiPriority w:val="0"/>
    <w:rPr>
      <w:i/>
    </w:rPr>
  </w:style>
  <w:style w:type="paragraph" w:customStyle="1" w:styleId="14">
    <w:name w:val="p17"/>
    <w:basedOn w:val="1"/>
    <w:qFormat/>
    <w:uiPriority w:val="0"/>
    <w:pPr>
      <w:widowControl/>
      <w:spacing w:line="400" w:lineRule="atLeast"/>
      <w:ind w:firstLine="420"/>
    </w:pPr>
    <w:rPr>
      <w:rFonts w:ascii="仿宋_GB2312" w:hAnsi="宋体" w:eastAsia="仿宋_GB2312" w:cs="宋体"/>
      <w:szCs w:val="24"/>
    </w:rPr>
  </w:style>
  <w:style w:type="paragraph" w:customStyle="1" w:styleId="15">
    <w:name w:val="样式 首行缩进:  2 字符"/>
    <w:basedOn w:val="1"/>
    <w:qFormat/>
    <w:uiPriority w:val="0"/>
    <w:pPr>
      <w:spacing w:line="400" w:lineRule="exact"/>
      <w:ind w:firstLine="200" w:firstLineChars="200"/>
    </w:pPr>
    <w:rPr>
      <w:rFonts w:cs="宋体"/>
    </w:rPr>
  </w:style>
  <w:style w:type="paragraph" w:styleId="16">
    <w:name w:val="List Paragraph"/>
    <w:basedOn w:val="1"/>
    <w:qFormat/>
    <w:uiPriority w:val="0"/>
    <w:pPr>
      <w:ind w:firstLine="420" w:firstLineChars="200"/>
    </w:pPr>
    <w:rPr>
      <w:sz w:val="18"/>
      <w:szCs w:val="18"/>
    </w:rPr>
  </w:style>
  <w:style w:type="character" w:customStyle="1" w:styleId="17">
    <w:name w:val="页眉 Char"/>
    <w:basedOn w:val="11"/>
    <w:link w:val="7"/>
    <w:qFormat/>
    <w:uiPriority w:val="0"/>
    <w:rPr>
      <w:rFonts w:ascii="宋体"/>
      <w:sz w:val="18"/>
      <w:szCs w:val="18"/>
    </w:rPr>
  </w:style>
  <w:style w:type="character" w:customStyle="1" w:styleId="18">
    <w:name w:val="页脚 Char"/>
    <w:basedOn w:val="11"/>
    <w:link w:val="2"/>
    <w:qFormat/>
    <w:uiPriority w:val="99"/>
    <w:rPr>
      <w:rFonts w:ascii="宋体"/>
      <w:sz w:val="18"/>
      <w:szCs w:val="18"/>
    </w:rPr>
  </w:style>
  <w:style w:type="paragraph" w:customStyle="1" w:styleId="19">
    <w:name w:val="Table Text"/>
    <w:basedOn w:val="1"/>
    <w:semiHidden/>
    <w:qFormat/>
    <w:uiPriority w:val="0"/>
    <w:rPr>
      <w:rFonts w:ascii="宋体" w:hAnsi="宋体" w:eastAsia="宋体" w:cs="宋体"/>
      <w:sz w:val="24"/>
      <w:szCs w:val="24"/>
      <w:lang w:val="en-US" w:eastAsia="en-US" w:bidi="ar-SA"/>
    </w:rPr>
  </w:style>
  <w:style w:type="table" w:customStyle="1" w:styleId="20">
    <w:name w:val="Table Normal"/>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71</Pages>
  <Words>15269</Words>
  <Characters>15524</Characters>
  <Lines>47</Lines>
  <Paragraphs>13</Paragraphs>
  <TotalTime>0</TotalTime>
  <ScaleCrop>false</ScaleCrop>
  <LinksUpToDate>false</LinksUpToDate>
  <CharactersWithSpaces>16098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2023-10-12T08:53:00Z</dcterms:created>
  <dc:creator>．</dc:creator>
  <cp:lastModifiedBy>招标07</cp:lastModifiedBy>
  <cp:lastPrinted>2024-10-30T07:20:00Z</cp:lastPrinted>
  <dcterms:modified xsi:type="dcterms:W3CDTF">2025-09-08T06:14:52Z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F25DCA2164204081B88A804B844E4403_13</vt:lpwstr>
  </property>
  <property fmtid="{D5CDD505-2E9C-101B-9397-08002B2CF9AE}" pid="4" name="KSOTemplateDocerSaveRecord">
    <vt:lpwstr>eyJoZGlkIjoiYWFlZTVhOGJmNjQzNzY4MDMwMTEyNGI1MzVkMzFkZmYifQ==</vt:lpwstr>
  </property>
</Properties>
</file>