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版本号：JXD2026-ZCYT-011920260119001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信息处理综治中心运维服务项目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JXD2026-ZCYT-0119</w:t>
      </w:r>
      <w:r>
        <w:br/>
      </w:r>
      <w:r>
        <w:br/>
      </w:r>
      <w:r>
        <w:br/>
      </w:r>
    </w:p>
    <w:p>
      <w:pPr>
        <w:pStyle w:val="null3"/>
        <w:jc w:val="center"/>
        <w:outlineLvl w:val="2"/>
      </w:pPr>
      <w:r>
        <w:rPr>
          <w:rFonts w:ascii="仿宋_GB2312" w:hAnsi="仿宋_GB2312" w:cs="仿宋_GB2312" w:eastAsia="仿宋_GB2312"/>
          <w:sz w:val="28"/>
          <w:b/>
        </w:rPr>
        <w:t>中国共产党西安市雁塔区委员会政法委员会</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中国共产党西安市雁塔区委员会政法委员会</w:t>
      </w:r>
      <w:r>
        <w:rPr>
          <w:rFonts w:ascii="仿宋_GB2312" w:hAnsi="仿宋_GB2312" w:cs="仿宋_GB2312" w:eastAsia="仿宋_GB2312"/>
        </w:rPr>
        <w:t>委托，拟对</w:t>
      </w:r>
      <w:r>
        <w:rPr>
          <w:rFonts w:ascii="仿宋_GB2312" w:hAnsi="仿宋_GB2312" w:cs="仿宋_GB2312" w:eastAsia="仿宋_GB2312"/>
        </w:rPr>
        <w:t>信息处理综治中心运维服务项目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JXD2026-ZCYT-0119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信息处理综治中心运维服务项目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中共西安市雁塔区委政法委员会信息处理--综治中心运维项目。今年，为贯彻落实中共中央总书记重要指示精神和《中国共产党政法工作条例》。坚持和发展新时代“枫桥经验”，区委常委会议决定，按照“统一入驻、集成服务、一窗受理、分类处置”的工作标准、完成雁塔区社会治安综合治理中心(以下简称“区综治中心)建设及中心的有序运行。因中心的标准化、信息化建设和运行管理工作涉及范围广、建设内容多、工作强度大、专业技术要求高，迫切需要一支专业化人才队伍，以保障中心有序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采购包1（信息处理综治中心运维服务）：属于专门面向中小企业采购。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中国共产党西安市雁塔区委员会政法委员会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西安市小寨东路168号雁塔区政府院内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029-85381186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代理服务费收费标准：招标代理服务费的收取参照国家计委关于印发《招标代理服务收费管理暂行办法》的通知(计价格〔2002〕1980号)的相关要求按照定额壹万伍仟元整（￥15,000.00）收取。 缴纳方式:采用现金或转账方式缴纳(账号信息如下)。 账户名称:陕西钜信达工程项目管理有限公司西安第一分公司 账号:129918351510001 开户行:招商银行股份有限公司西安西影路支行 转账事由:(项目简称或项目编号)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中国共产党西安市雁塔区委员会政法委员会</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中国共产党西安市雁塔区委员会政法委员会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中国共产党西安市雁塔区委员会政法委员会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w:t>
      </w:r>
    </w:p>
    <w:p>
      <w:pPr>
        <w:pStyle w:val="null3"/>
      </w:pPr>
      <w:r>
        <w:rPr>
          <w:rFonts w:ascii="仿宋_GB2312" w:hAnsi="仿宋_GB2312" w:cs="仿宋_GB2312" w:eastAsia="仿宋_GB2312"/>
        </w:rPr>
        <w:t>联系电话：15094017739</w:t>
      </w:r>
    </w:p>
    <w:p>
      <w:pPr>
        <w:pStyle w:val="null3"/>
      </w:pPr>
      <w:r>
        <w:rPr>
          <w:rFonts w:ascii="仿宋_GB2312" w:hAnsi="仿宋_GB2312" w:cs="仿宋_GB2312" w:eastAsia="仿宋_GB2312"/>
        </w:rPr>
        <w:t>地址：陕西省西安市雁塔区雁翔路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关于中共西安市雁塔区委政法委员会信息处理--综治中心运维项目。今年，为贯彻落实总书记重要指示精神和《中国共产党政法工作条例》。坚持和发展新时代“枫桥经验”，区委常委会议决定，按照“统一入驻、集成服务、一窗受理、分类处置”的工作标准、完成雁塔区社会治安综合治理中心(以下简称“区综治中心)建设及中心的有序运行。因中心的标准化、信息化建设和运行管理工作涉及范围广、建设内容多、工作强度大、专业技术要求高，迫切需要一支专业化人才队伍，以保障中心有序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信息处理综治中心运维服务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标的名称：信息处理综治中心运维服务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jc w:val="center"/>
            </w:pPr>
            <w:r>
              <w:rPr>
                <w:rFonts w:ascii="仿宋_GB2312" w:hAnsi="仿宋_GB2312" w:cs="仿宋_GB2312" w:eastAsia="仿宋_GB2312"/>
              </w:rPr>
              <w:t xml:space="preserve"> </w:t>
            </w:r>
          </w:p>
          <w:p>
            <w:pPr>
              <w:pStyle w:val="null3"/>
              <w:spacing w:after="165"/>
            </w:pPr>
            <w:r>
              <w:rPr>
                <w:rFonts w:ascii="仿宋_GB2312" w:hAnsi="仿宋_GB2312" w:cs="仿宋_GB2312" w:eastAsia="仿宋_GB2312"/>
                <w:sz w:val="24"/>
                <w:b/>
              </w:rPr>
              <w:t>一、项目基本信息</w:t>
            </w:r>
          </w:p>
          <w:p>
            <w:pPr>
              <w:pStyle w:val="null3"/>
              <w:spacing w:after="165"/>
              <w:ind w:firstLine="480"/>
            </w:pPr>
            <w:r>
              <w:rPr>
                <w:rFonts w:ascii="仿宋_GB2312" w:hAnsi="仿宋_GB2312" w:cs="仿宋_GB2312" w:eastAsia="仿宋_GB2312"/>
                <w:sz w:val="24"/>
              </w:rPr>
              <w:t>项目名称：信息处理综治中心运维服务项目</w:t>
            </w:r>
          </w:p>
          <w:p>
            <w:pPr>
              <w:pStyle w:val="null3"/>
              <w:spacing w:after="165"/>
              <w:ind w:firstLine="480"/>
            </w:pPr>
            <w:r>
              <w:rPr>
                <w:rFonts w:ascii="仿宋_GB2312" w:hAnsi="仿宋_GB2312" w:cs="仿宋_GB2312" w:eastAsia="仿宋_GB2312"/>
                <w:sz w:val="24"/>
              </w:rPr>
              <w:t>项目编号：JXD2026-ZCYT-0119</w:t>
            </w:r>
          </w:p>
          <w:p>
            <w:pPr>
              <w:pStyle w:val="null3"/>
              <w:spacing w:after="165"/>
              <w:ind w:firstLine="480"/>
            </w:pPr>
            <w:r>
              <w:rPr>
                <w:rFonts w:ascii="仿宋_GB2312" w:hAnsi="仿宋_GB2312" w:cs="仿宋_GB2312" w:eastAsia="仿宋_GB2312"/>
                <w:sz w:val="24"/>
              </w:rPr>
              <w:t>采购单位：中国共产党西安市雁塔区委员会政法委员会</w:t>
            </w:r>
          </w:p>
          <w:p>
            <w:pPr>
              <w:pStyle w:val="null3"/>
              <w:spacing w:after="165"/>
              <w:ind w:firstLine="480"/>
            </w:pPr>
            <w:r>
              <w:rPr>
                <w:rFonts w:ascii="仿宋_GB2312" w:hAnsi="仿宋_GB2312" w:cs="仿宋_GB2312" w:eastAsia="仿宋_GB2312"/>
                <w:sz w:val="24"/>
              </w:rPr>
              <w:t>资金来源：财政资金</w:t>
            </w:r>
          </w:p>
          <w:p>
            <w:pPr>
              <w:pStyle w:val="null3"/>
              <w:spacing w:after="165"/>
              <w:ind w:firstLine="480"/>
            </w:pPr>
            <w:r>
              <w:rPr>
                <w:rFonts w:ascii="仿宋_GB2312" w:hAnsi="仿宋_GB2312" w:cs="仿宋_GB2312" w:eastAsia="仿宋_GB2312"/>
                <w:sz w:val="24"/>
              </w:rPr>
              <w:t>预算金额</w:t>
            </w:r>
          </w:p>
          <w:p>
            <w:pPr>
              <w:pStyle w:val="null3"/>
              <w:spacing w:after="165"/>
              <w:ind w:firstLine="480"/>
            </w:pPr>
            <w:r>
              <w:rPr>
                <w:rFonts w:ascii="仿宋_GB2312" w:hAnsi="仿宋_GB2312" w:cs="仿宋_GB2312" w:eastAsia="仿宋_GB2312"/>
                <w:sz w:val="24"/>
              </w:rPr>
              <w:t>人民币120万元（大写：壹佰贰拾万元整），最高限价同预算金额</w:t>
            </w:r>
          </w:p>
          <w:p>
            <w:pPr>
              <w:pStyle w:val="null3"/>
              <w:spacing w:after="165"/>
              <w:ind w:firstLine="480"/>
            </w:pPr>
            <w:r>
              <w:rPr>
                <w:rFonts w:ascii="仿宋_GB2312" w:hAnsi="仿宋_GB2312" w:cs="仿宋_GB2312" w:eastAsia="仿宋_GB2312"/>
                <w:sz w:val="24"/>
              </w:rPr>
              <w:t>服务期限：自合同签订之日起一年</w:t>
            </w:r>
          </w:p>
          <w:p>
            <w:pPr>
              <w:pStyle w:val="null3"/>
              <w:spacing w:after="165"/>
              <w:ind w:firstLine="480"/>
            </w:pPr>
            <w:r>
              <w:rPr>
                <w:rFonts w:ascii="仿宋_GB2312" w:hAnsi="仿宋_GB2312" w:cs="仿宋_GB2312" w:eastAsia="仿宋_GB2312"/>
                <w:sz w:val="24"/>
              </w:rPr>
              <w:t>服务地点：采购人指定地点</w:t>
            </w:r>
          </w:p>
          <w:p>
            <w:pPr>
              <w:pStyle w:val="null3"/>
              <w:spacing w:after="165"/>
              <w:ind w:firstLine="480"/>
            </w:pPr>
            <w:r>
              <w:rPr>
                <w:rFonts w:ascii="仿宋_GB2312" w:hAnsi="仿宋_GB2312" w:cs="仿宋_GB2312" w:eastAsia="仿宋_GB2312"/>
                <w:sz w:val="24"/>
              </w:rPr>
              <w:t>采购方式：竞争性磋商</w:t>
            </w:r>
          </w:p>
          <w:p>
            <w:pPr>
              <w:pStyle w:val="null3"/>
              <w:spacing w:after="165"/>
            </w:pPr>
            <w:r>
              <w:rPr>
                <w:rFonts w:ascii="仿宋_GB2312" w:hAnsi="仿宋_GB2312" w:cs="仿宋_GB2312" w:eastAsia="仿宋_GB2312"/>
                <w:sz w:val="24"/>
                <w:b/>
              </w:rPr>
              <w:t>二、项目概况</w:t>
            </w:r>
          </w:p>
          <w:p>
            <w:pPr>
              <w:pStyle w:val="null3"/>
              <w:spacing w:after="165"/>
              <w:ind w:firstLine="480"/>
            </w:pPr>
            <w:r>
              <w:rPr>
                <w:rFonts w:ascii="仿宋_GB2312" w:hAnsi="仿宋_GB2312" w:cs="仿宋_GB2312" w:eastAsia="仿宋_GB2312"/>
                <w:sz w:val="24"/>
              </w:rPr>
              <w:t>关于中共西安市雁塔区委政法委员会信息处理--综治中心运维项目。今年，为贯彻落实中共中央总书记重要指示精神和《中国共产党政法工作条例》。坚持和发展新时代“枫桥经验”，区委常委会议决定，按照“统一入驻、集成服务、一窗受理、分类处置”的工作标准、完成雁塔区社会治安综合治理中心(以下简称“区综治中心)建设及中心的有序运行。因中心的标准化、信息化建设和运行管理工作涉及范围广、建设内容多、工作强度大、专业技术要求高，迫切需要一支专业化人才队伍，以保障中心有序运行。</w:t>
            </w:r>
          </w:p>
          <w:p>
            <w:pPr>
              <w:pStyle w:val="null3"/>
              <w:spacing w:after="165"/>
            </w:pPr>
            <w:r>
              <w:rPr>
                <w:rFonts w:ascii="仿宋_GB2312" w:hAnsi="仿宋_GB2312" w:cs="仿宋_GB2312" w:eastAsia="仿宋_GB2312"/>
                <w:sz w:val="24"/>
                <w:b/>
              </w:rPr>
              <w:t>三、服务内容</w:t>
            </w:r>
          </w:p>
          <w:p>
            <w:pPr>
              <w:pStyle w:val="null3"/>
              <w:spacing w:after="165"/>
              <w:ind w:firstLine="480"/>
            </w:pPr>
            <w:r>
              <w:rPr>
                <w:rFonts w:ascii="仿宋_GB2312" w:hAnsi="仿宋_GB2312" w:cs="仿宋_GB2312" w:eastAsia="仿宋_GB2312"/>
                <w:sz w:val="24"/>
              </w:rPr>
              <w:t>新建设的区综治中心分为三个功能区域:一是接访区。设置在一、二层。二是办公区。设置在三、四层、三是共享区。设置在五层、负一层。新建中心集信访接待、多元调解、法律咨询、行政复议、劳动维权、诉讼服务、信息指挥、市民热线于一体、实现矛盾纠纷“前台一站接，后台分流办，多元联事调”。</w:t>
            </w:r>
          </w:p>
          <w:p>
            <w:pPr>
              <w:pStyle w:val="null3"/>
              <w:spacing w:after="165"/>
            </w:pPr>
            <w:r>
              <w:rPr>
                <w:rFonts w:ascii="仿宋_GB2312" w:hAnsi="仿宋_GB2312" w:cs="仿宋_GB2312" w:eastAsia="仿宋_GB2312"/>
                <w:sz w:val="24"/>
                <w:b/>
              </w:rPr>
              <w:t>四、技术要求</w:t>
            </w:r>
          </w:p>
          <w:p>
            <w:pPr>
              <w:pStyle w:val="null3"/>
              <w:spacing w:after="165"/>
              <w:ind w:firstLine="480"/>
            </w:pPr>
            <w:r>
              <w:rPr>
                <w:rFonts w:ascii="仿宋_GB2312" w:hAnsi="仿宋_GB2312" w:cs="仿宋_GB2312" w:eastAsia="仿宋_GB2312"/>
                <w:sz w:val="24"/>
              </w:rPr>
              <w:t>（一）系统运维服务</w:t>
            </w:r>
          </w:p>
          <w:p>
            <w:pPr>
              <w:pStyle w:val="null3"/>
              <w:spacing w:after="165"/>
              <w:ind w:firstLine="480"/>
            </w:pPr>
            <w:r>
              <w:rPr>
                <w:rFonts w:ascii="仿宋_GB2312" w:hAnsi="仿宋_GB2312" w:cs="仿宋_GB2312" w:eastAsia="仿宋_GB2312"/>
                <w:sz w:val="24"/>
              </w:rPr>
              <w:t xml:space="preserve">1. </w:t>
            </w:r>
            <w:r>
              <w:rPr>
                <w:rFonts w:ascii="仿宋_GB2312" w:hAnsi="仿宋_GB2312" w:cs="仿宋_GB2312" w:eastAsia="仿宋_GB2312"/>
                <w:sz w:val="24"/>
              </w:rPr>
              <w:t>综治综合信息平台运维：</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日常维护：负责平台账号管理、功能调试、流程优化，保障案件上报、流转、督办、结案全流程顺畅，每月生成平台运行分析报告；</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故障处理：针对平台登录异常、数据提交失败、流程卡顿等故障，提供≤2小时响应、≤4小时解决（复杂故障≤8小时）的技术支持；</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优化升级：根据业务需求提出平台功能优化建议，配合开发单位完成系统升级、接口适配，升级后需提供测试报告。</w:t>
            </w:r>
          </w:p>
          <w:p>
            <w:pPr>
              <w:pStyle w:val="null3"/>
              <w:spacing w:after="165"/>
              <w:ind w:firstLine="480"/>
            </w:pPr>
            <w:r>
              <w:rPr>
                <w:rFonts w:ascii="仿宋_GB2312" w:hAnsi="仿宋_GB2312" w:cs="仿宋_GB2312" w:eastAsia="仿宋_GB2312"/>
                <w:sz w:val="24"/>
              </w:rPr>
              <w:t>（二）数据管理服务</w:t>
            </w:r>
          </w:p>
          <w:p>
            <w:pPr>
              <w:pStyle w:val="null3"/>
              <w:spacing w:after="165"/>
              <w:ind w:firstLine="480"/>
            </w:pPr>
            <w:r>
              <w:rPr>
                <w:rFonts w:ascii="仿宋_GB2312" w:hAnsi="仿宋_GB2312" w:cs="仿宋_GB2312" w:eastAsia="仿宋_GB2312"/>
                <w:sz w:val="24"/>
              </w:rPr>
              <w:t xml:space="preserve">1. </w:t>
            </w:r>
            <w:r>
              <w:rPr>
                <w:rFonts w:ascii="仿宋_GB2312" w:hAnsi="仿宋_GB2312" w:cs="仿宋_GB2312" w:eastAsia="仿宋_GB2312"/>
                <w:sz w:val="24"/>
              </w:rPr>
              <w:t>基础数据维护：</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按照《社会治安综合治理基础数据规范》，规范人、地、物、事、组织等基础数据的采集、录入、更新，确保数据准确率≥99%；</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定期开展数据清洗，剔除重复、无效数据，每月完成1次全量数据核查，形成数据质量报告。</w:t>
            </w:r>
          </w:p>
          <w:p>
            <w:pPr>
              <w:pStyle w:val="null3"/>
              <w:spacing w:after="165"/>
              <w:ind w:firstLine="480"/>
            </w:pPr>
            <w:r>
              <w:rPr>
                <w:rFonts w:ascii="仿宋_GB2312" w:hAnsi="仿宋_GB2312" w:cs="仿宋_GB2312" w:eastAsia="仿宋_GB2312"/>
                <w:sz w:val="24"/>
              </w:rPr>
              <w:t xml:space="preserve">2. </w:t>
            </w:r>
            <w:r>
              <w:rPr>
                <w:rFonts w:ascii="仿宋_GB2312" w:hAnsi="仿宋_GB2312" w:cs="仿宋_GB2312" w:eastAsia="仿宋_GB2312"/>
                <w:sz w:val="24"/>
              </w:rPr>
              <w:t>数据备份与安全：</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制定分级备份方案：核心业务数据每日增量备份、每周全量备份，备份数据存储时长≥6个月，提供不少于2T备份空间；</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数据加密：对敏感数据进行传输、存储加密，防止数据泄露、篡改，定期开展数据安全审计（每月1次）；</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数据上报：按照上级部门要求，完成数据增量报送、汇总统计，确保上报及时性（截止时间前100%完成）、准确性（错误率≤0.1%）。</w:t>
            </w:r>
          </w:p>
          <w:p>
            <w:pPr>
              <w:pStyle w:val="null3"/>
              <w:spacing w:after="165"/>
              <w:ind w:firstLine="480"/>
            </w:pPr>
            <w:r>
              <w:rPr>
                <w:rFonts w:ascii="仿宋_GB2312" w:hAnsi="仿宋_GB2312" w:cs="仿宋_GB2312" w:eastAsia="仿宋_GB2312"/>
                <w:sz w:val="24"/>
              </w:rPr>
              <w:t xml:space="preserve">3. </w:t>
            </w:r>
            <w:r>
              <w:rPr>
                <w:rFonts w:ascii="仿宋_GB2312" w:hAnsi="仿宋_GB2312" w:cs="仿宋_GB2312" w:eastAsia="仿宋_GB2312"/>
                <w:sz w:val="24"/>
              </w:rPr>
              <w:t>数据分析服务：</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定期分析：每月对综治业务数据进行分类统计、趋势分析，形成包含案件类型分布、处置效率、区域热点等内容的数据分析报告；</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专项分析：根据采购单位需求，提供突发事件数据研判、网格化管理成效评估等专项分析服务，响应时间≤3个工作日。</w:t>
            </w:r>
          </w:p>
          <w:p>
            <w:pPr>
              <w:pStyle w:val="null3"/>
              <w:spacing w:after="165"/>
              <w:ind w:firstLine="480"/>
            </w:pPr>
            <w:r>
              <w:rPr>
                <w:rFonts w:ascii="仿宋_GB2312" w:hAnsi="仿宋_GB2312" w:cs="仿宋_GB2312" w:eastAsia="仿宋_GB2312"/>
                <w:sz w:val="24"/>
              </w:rPr>
              <w:t>（三）硬件设备运维</w:t>
            </w:r>
          </w:p>
          <w:p>
            <w:pPr>
              <w:pStyle w:val="null3"/>
              <w:spacing w:after="165"/>
              <w:ind w:firstLine="480"/>
            </w:pPr>
            <w:r>
              <w:rPr>
                <w:rFonts w:ascii="仿宋_GB2312" w:hAnsi="仿宋_GB2312" w:cs="仿宋_GB2312" w:eastAsia="仿宋_GB2312"/>
                <w:sz w:val="24"/>
              </w:rPr>
              <w:t xml:space="preserve">1. </w:t>
            </w:r>
            <w:r>
              <w:rPr>
                <w:rFonts w:ascii="仿宋_GB2312" w:hAnsi="仿宋_GB2312" w:cs="仿宋_GB2312" w:eastAsia="仿宋_GB2312"/>
                <w:sz w:val="24"/>
              </w:rPr>
              <w:t>机房设备维护：</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巡检要求：对服务器、交换机、路由器、UPS电源、空调等机房设备，实行每日1次现场巡检，记录设备运行参数（温度、负载率等），每月生成设备健康报告；</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故障维修：设备硬件故障（如硬盘损坏、电源故障等），响应时间≤1小时，备件更换≤4小时（常用备件需提前储备），设备维修合格率≥98%；</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能耗优化：动态调节空调制冷量、服务器运行负载，实现机房节能率≥10%。</w:t>
            </w:r>
          </w:p>
          <w:p>
            <w:pPr>
              <w:pStyle w:val="null3"/>
              <w:spacing w:after="165"/>
              <w:ind w:firstLine="480"/>
            </w:pPr>
            <w:r>
              <w:rPr>
                <w:rFonts w:ascii="仿宋_GB2312" w:hAnsi="仿宋_GB2312" w:cs="仿宋_GB2312" w:eastAsia="仿宋_GB2312"/>
                <w:sz w:val="24"/>
              </w:rPr>
              <w:t xml:space="preserve">2. </w:t>
            </w:r>
            <w:r>
              <w:rPr>
                <w:rFonts w:ascii="仿宋_GB2312" w:hAnsi="仿宋_GB2312" w:cs="仿宋_GB2312" w:eastAsia="仿宋_GB2312"/>
                <w:sz w:val="24"/>
              </w:rPr>
              <w:t>终端设备维护：</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对综治中心办公电脑、打印机、扫描仪、无线话筒等终端设备，提供故障报修、维修更换服务，响应时间≤2小时，解决时间≤4小时；</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定期进行设备除尘、系统优化，每季度完成1次全量终端设备维护。</w:t>
            </w:r>
          </w:p>
          <w:p>
            <w:pPr>
              <w:pStyle w:val="null3"/>
              <w:spacing w:after="165"/>
              <w:ind w:firstLine="480"/>
            </w:pPr>
            <w:r>
              <w:rPr>
                <w:rFonts w:ascii="仿宋_GB2312" w:hAnsi="仿宋_GB2312" w:cs="仿宋_GB2312" w:eastAsia="仿宋_GB2312"/>
                <w:sz w:val="24"/>
              </w:rPr>
              <w:t>（四）应急与增值服务</w:t>
            </w:r>
          </w:p>
          <w:p>
            <w:pPr>
              <w:pStyle w:val="null3"/>
              <w:spacing w:after="165"/>
              <w:ind w:firstLine="480"/>
            </w:pPr>
            <w:r>
              <w:rPr>
                <w:rFonts w:ascii="仿宋_GB2312" w:hAnsi="仿宋_GB2312" w:cs="仿宋_GB2312" w:eastAsia="仿宋_GB2312"/>
                <w:sz w:val="24"/>
              </w:rPr>
              <w:t xml:space="preserve">1. </w:t>
            </w:r>
            <w:r>
              <w:rPr>
                <w:rFonts w:ascii="仿宋_GB2312" w:hAnsi="仿宋_GB2312" w:cs="仿宋_GB2312" w:eastAsia="仿宋_GB2312"/>
                <w:sz w:val="24"/>
              </w:rPr>
              <w:t>应急指挥支撑：</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针对防疫防汛、突发事件处置等应急场景，提供7×24小时应急值守，配合完成视频调度、数据汇总、指令传达等工作；</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迎检接待：配合采购单位完成上级检查、调研等活动的技术保障，提前完成设备调试、演示准备，保障活动顺利开展。</w:t>
            </w:r>
          </w:p>
          <w:p>
            <w:pPr>
              <w:pStyle w:val="null3"/>
              <w:spacing w:after="165"/>
              <w:ind w:firstLine="480"/>
            </w:pPr>
            <w:r>
              <w:rPr>
                <w:rFonts w:ascii="仿宋_GB2312" w:hAnsi="仿宋_GB2312" w:cs="仿宋_GB2312" w:eastAsia="仿宋_GB2312"/>
                <w:sz w:val="24"/>
              </w:rPr>
              <w:t xml:space="preserve">2. </w:t>
            </w:r>
            <w:r>
              <w:rPr>
                <w:rFonts w:ascii="仿宋_GB2312" w:hAnsi="仿宋_GB2312" w:cs="仿宋_GB2312" w:eastAsia="仿宋_GB2312"/>
                <w:sz w:val="24"/>
              </w:rPr>
              <w:t>培训与咨询服务：</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定期培训：每年至少开展1次系统操作培训（含平台使用、设备操作、数据录入等内容），覆盖所有使用人员，提供培训教材和考核报告；</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技术咨询：提供5×8小时技术咨询服务（电话、邮件、现场等方式），解答用户操作疑问，咨询响应率100%。</w:t>
            </w:r>
          </w:p>
          <w:p>
            <w:pPr>
              <w:pStyle w:val="null3"/>
              <w:spacing w:after="165"/>
            </w:pPr>
            <w:r>
              <w:rPr>
                <w:rFonts w:ascii="仿宋_GB2312" w:hAnsi="仿宋_GB2312" w:cs="仿宋_GB2312" w:eastAsia="仿宋_GB2312"/>
                <w:sz w:val="24"/>
                <w:b/>
              </w:rPr>
              <w:t>五、商务要求</w:t>
            </w:r>
          </w:p>
          <w:p>
            <w:pPr>
              <w:pStyle w:val="null3"/>
              <w:spacing w:after="165"/>
              <w:ind w:firstLine="480"/>
            </w:pPr>
            <w:r>
              <w:rPr>
                <w:rFonts w:ascii="仿宋_GB2312" w:hAnsi="仿宋_GB2312" w:cs="仿宋_GB2312" w:eastAsia="仿宋_GB2312"/>
                <w:sz w:val="24"/>
              </w:rPr>
              <w:t>（一）履约保障</w:t>
            </w:r>
          </w:p>
          <w:p>
            <w:pPr>
              <w:pStyle w:val="null3"/>
              <w:spacing w:after="165"/>
              <w:ind w:firstLine="480"/>
            </w:pPr>
            <w:r>
              <w:rPr>
                <w:rFonts w:ascii="仿宋_GB2312" w:hAnsi="仿宋_GB2312" w:cs="仿宋_GB2312" w:eastAsia="仿宋_GB2312"/>
                <w:sz w:val="24"/>
              </w:rPr>
              <w:t xml:space="preserve">1. </w:t>
            </w:r>
            <w:r>
              <w:rPr>
                <w:rFonts w:ascii="仿宋_GB2312" w:hAnsi="仿宋_GB2312" w:cs="仿宋_GB2312" w:eastAsia="仿宋_GB2312"/>
                <w:sz w:val="24"/>
              </w:rPr>
              <w:t>服务响应机制：</w:t>
            </w:r>
          </w:p>
          <w:p>
            <w:pPr>
              <w:pStyle w:val="null3"/>
              <w:spacing w:after="165"/>
              <w:ind w:firstLine="480"/>
            </w:pPr>
            <w:r>
              <w:rPr>
                <w:rFonts w:ascii="仿宋_GB2312" w:hAnsi="仿宋_GB2312" w:cs="仿宋_GB2312" w:eastAsia="仿宋_GB2312"/>
                <w:sz w:val="24"/>
              </w:rPr>
              <w:t>一级故障（系统全网中断、数据泄露等）：≤30分钟响应，1小时内到场，4小时内解决；二级故障（局部功能异常、单设备故障）：≤2小时响应，4小时内解决；三级故障（咨询类、小问题）：≤4小时响应，8小时内解决。</w:t>
            </w:r>
          </w:p>
          <w:p>
            <w:pPr>
              <w:pStyle w:val="null3"/>
              <w:spacing w:after="165"/>
              <w:ind w:firstLine="480"/>
            </w:pPr>
            <w:r>
              <w:rPr>
                <w:rFonts w:ascii="仿宋_GB2312" w:hAnsi="仿宋_GB2312" w:cs="仿宋_GB2312" w:eastAsia="仿宋_GB2312"/>
                <w:sz w:val="24"/>
              </w:rPr>
              <w:t xml:space="preserve">2. </w:t>
            </w:r>
            <w:r>
              <w:rPr>
                <w:rFonts w:ascii="仿宋_GB2312" w:hAnsi="仿宋_GB2312" w:cs="仿宋_GB2312" w:eastAsia="仿宋_GB2312"/>
                <w:sz w:val="24"/>
              </w:rPr>
              <w:t>文档交付：服务期内需提交以下文档：</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月度：运维工作报告（含故障统计、数据质量、服务满意度）、设备巡检记录；</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季度：数据分析报告、系统优化建议报告；</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年度：运维总结报告、设备健康评估报告、培训总结报告。</w:t>
            </w:r>
          </w:p>
          <w:p>
            <w:pPr>
              <w:pStyle w:val="null3"/>
              <w:spacing w:after="165"/>
              <w:ind w:firstLine="480"/>
            </w:pPr>
            <w:r>
              <w:rPr>
                <w:rFonts w:ascii="仿宋_GB2312" w:hAnsi="仿宋_GB2312" w:cs="仿宋_GB2312" w:eastAsia="仿宋_GB2312"/>
                <w:sz w:val="24"/>
              </w:rPr>
              <w:t>（二）验收标准</w:t>
            </w:r>
          </w:p>
          <w:p>
            <w:pPr>
              <w:pStyle w:val="null3"/>
              <w:spacing w:after="165"/>
              <w:ind w:firstLine="960"/>
            </w:pPr>
            <w:r>
              <w:rPr>
                <w:rFonts w:ascii="仿宋_GB2312" w:hAnsi="仿宋_GB2312" w:cs="仿宋_GB2312" w:eastAsia="仿宋_GB2312"/>
                <w:sz w:val="24"/>
              </w:rPr>
              <w:t>服务期满后，采购单位组织全面验收，需满足：</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系统可用率≥99.9%，故障处理及时率≥95%，数据安全零事故；</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所有交付文档完整、规范，通过采购单位审核；</w:t>
            </w:r>
          </w:p>
          <w:p>
            <w:pPr>
              <w:pStyle w:val="null3"/>
              <w:spacing w:after="165"/>
              <w:ind w:firstLine="480"/>
            </w:pPr>
            <w:r>
              <w:rPr>
                <w:rFonts w:ascii="仿宋_GB2312" w:hAnsi="仿宋_GB2312" w:cs="仿宋_GB2312" w:eastAsia="仿宋_GB2312"/>
                <w:sz w:val="24"/>
              </w:rPr>
              <w:t xml:space="preserve">  - </w:t>
            </w:r>
            <w:r>
              <w:rPr>
                <w:rFonts w:ascii="仿宋_GB2312" w:hAnsi="仿宋_GB2312" w:cs="仿宋_GB2312" w:eastAsia="仿宋_GB2312"/>
                <w:sz w:val="24"/>
              </w:rPr>
              <w:t>服务对象满意度调查≥85分（抽样调查比例≥30%）。</w:t>
            </w:r>
          </w:p>
          <w:p>
            <w:pPr>
              <w:pStyle w:val="null3"/>
              <w:spacing w:after="165"/>
              <w:ind w:firstLine="480"/>
            </w:pPr>
            <w:r>
              <w:rPr>
                <w:rFonts w:ascii="仿宋_GB2312" w:hAnsi="仿宋_GB2312" w:cs="仿宋_GB2312" w:eastAsia="仿宋_GB2312"/>
                <w:sz w:val="24"/>
              </w:rPr>
              <w:t>（三）付款条件</w:t>
            </w:r>
          </w:p>
          <w:p>
            <w:pPr>
              <w:pStyle w:val="null3"/>
              <w:spacing w:after="165"/>
              <w:ind w:firstLine="480"/>
            </w:pPr>
            <w:r>
              <w:rPr>
                <w:rFonts w:ascii="仿宋_GB2312" w:hAnsi="仿宋_GB2312" w:cs="仿宋_GB2312" w:eastAsia="仿宋_GB2312"/>
                <w:sz w:val="24"/>
              </w:rPr>
              <w:t>合同签订后 ，达到付款条件起 30 日内，支付合同总金额的 40.00%。</w:t>
            </w:r>
          </w:p>
          <w:p>
            <w:pPr>
              <w:pStyle w:val="null3"/>
              <w:spacing w:after="165"/>
              <w:ind w:firstLine="480"/>
            </w:pPr>
            <w:r>
              <w:rPr>
                <w:rFonts w:ascii="仿宋_GB2312" w:hAnsi="仿宋_GB2312" w:cs="仿宋_GB2312" w:eastAsia="仿宋_GB2312"/>
                <w:sz w:val="24"/>
              </w:rPr>
              <w:t>第二季度初向成交单位支付费用 ，达到付款条件起 30 日内，支付合同总金额的 20.00%。</w:t>
            </w:r>
          </w:p>
          <w:p>
            <w:pPr>
              <w:pStyle w:val="null3"/>
              <w:spacing w:after="165"/>
              <w:ind w:firstLine="480"/>
            </w:pPr>
            <w:r>
              <w:rPr>
                <w:rFonts w:ascii="仿宋_GB2312" w:hAnsi="仿宋_GB2312" w:cs="仿宋_GB2312" w:eastAsia="仿宋_GB2312"/>
                <w:sz w:val="24"/>
              </w:rPr>
              <w:t>第三季度初向成交单位支付费用 ，达到付款条件起 30 日内，支付合同总金额的 20.00%。</w:t>
            </w:r>
          </w:p>
          <w:p>
            <w:pPr>
              <w:pStyle w:val="null3"/>
              <w:spacing w:after="165"/>
              <w:ind w:firstLine="480"/>
            </w:pPr>
            <w:r>
              <w:rPr>
                <w:rFonts w:ascii="仿宋_GB2312" w:hAnsi="仿宋_GB2312" w:cs="仿宋_GB2312" w:eastAsia="仿宋_GB2312"/>
                <w:sz w:val="24"/>
              </w:rPr>
              <w:t>第四季度初向成交单位支付费用 ，达到付款条件起 30 日内，支付合同总金额的 20.00%。</w:t>
            </w:r>
          </w:p>
          <w:p>
            <w:pPr>
              <w:pStyle w:val="null3"/>
              <w:spacing w:after="165"/>
              <w:ind w:firstLine="480"/>
            </w:pPr>
            <w:r>
              <w:rPr>
                <w:rFonts w:ascii="仿宋_GB2312" w:hAnsi="仿宋_GB2312" w:cs="仿宋_GB2312" w:eastAsia="仿宋_GB2312"/>
                <w:sz w:val="24"/>
              </w:rPr>
              <w:t>（四）违约责任</w:t>
            </w:r>
          </w:p>
          <w:p>
            <w:pPr>
              <w:pStyle w:val="null3"/>
              <w:spacing w:after="165"/>
              <w:ind w:firstLine="480"/>
            </w:pPr>
            <w:r>
              <w:rPr>
                <w:rFonts w:ascii="仿宋_GB2312" w:hAnsi="仿宋_GB2312" w:cs="仿宋_GB2312" w:eastAsia="仿宋_GB2312"/>
                <w:sz w:val="24"/>
              </w:rPr>
              <w:t>发生数据泄露、丢失等安全事故，采购单位有权解除合同，并要求供应商承担相应损失。</w:t>
            </w:r>
          </w:p>
          <w:p>
            <w:pPr>
              <w:pStyle w:val="null3"/>
              <w:spacing w:after="165"/>
            </w:pPr>
            <w:r>
              <w:rPr>
                <w:rFonts w:ascii="仿宋_GB2312" w:hAnsi="仿宋_GB2312" w:cs="仿宋_GB2312" w:eastAsia="仿宋_GB2312"/>
                <w:sz w:val="24"/>
                <w:b/>
              </w:rPr>
              <w:t>六、其他要求</w:t>
            </w:r>
          </w:p>
          <w:p>
            <w:pPr>
              <w:pStyle w:val="null3"/>
              <w:spacing w:after="165"/>
              <w:ind w:firstLine="480"/>
            </w:pPr>
            <w:r>
              <w:rPr>
                <w:rFonts w:ascii="仿宋_GB2312" w:hAnsi="仿宋_GB2312" w:cs="仿宋_GB2312" w:eastAsia="仿宋_GB2312"/>
                <w:sz w:val="24"/>
              </w:rPr>
              <w:t xml:space="preserve">1. </w:t>
            </w:r>
            <w:r>
              <w:rPr>
                <w:rFonts w:ascii="仿宋_GB2312" w:hAnsi="仿宋_GB2312" w:cs="仿宋_GB2312" w:eastAsia="仿宋_GB2312"/>
                <w:sz w:val="24"/>
              </w:rPr>
              <w:t>保密要求：供应商需与采购单位签订《保密协议》，对运维过程中接触的涉密数据、业务信息等承担保密责任，保密期限为服务期内及服务结束后3年，不得泄露、传播或用于其他用途。</w:t>
            </w:r>
          </w:p>
          <w:p>
            <w:pPr>
              <w:pStyle w:val="null3"/>
              <w:spacing w:after="165"/>
              <w:ind w:firstLine="480"/>
            </w:pPr>
            <w:r>
              <w:rPr>
                <w:rFonts w:ascii="仿宋_GB2312" w:hAnsi="仿宋_GB2312" w:cs="仿宋_GB2312" w:eastAsia="仿宋_GB2312"/>
                <w:sz w:val="24"/>
              </w:rPr>
              <w:t xml:space="preserve">2. </w:t>
            </w:r>
            <w:r>
              <w:rPr>
                <w:rFonts w:ascii="仿宋_GB2312" w:hAnsi="仿宋_GB2312" w:cs="仿宋_GB2312" w:eastAsia="仿宋_GB2312"/>
                <w:sz w:val="24"/>
              </w:rPr>
              <w:t>人员管理：驻场人员需遵守采购单位规章制度，服从工作安排，采购单位有权对不称职人员提出更换要求，供应商需在5个工作日内完成替换。</w:t>
            </w:r>
          </w:p>
          <w:p>
            <w:pPr>
              <w:pStyle w:val="null3"/>
              <w:spacing w:after="165"/>
              <w:ind w:firstLine="480"/>
            </w:pPr>
            <w:r>
              <w:rPr>
                <w:rFonts w:ascii="仿宋_GB2312" w:hAnsi="仿宋_GB2312" w:cs="仿宋_GB2312" w:eastAsia="仿宋_GB2312"/>
                <w:sz w:val="24"/>
              </w:rPr>
              <w:t xml:space="preserve">3. </w:t>
            </w:r>
            <w:r>
              <w:rPr>
                <w:rFonts w:ascii="仿宋_GB2312" w:hAnsi="仿宋_GB2312" w:cs="仿宋_GB2312" w:eastAsia="仿宋_GB2312"/>
                <w:sz w:val="24"/>
              </w:rPr>
              <w:t>知识产权：运维服务过程中产生的技术方案、分析报告等成果知识产权归采购单位所有，供应商不得擅自用于其他项目。</w:t>
            </w:r>
          </w:p>
          <w:p>
            <w:pPr>
              <w:pStyle w:val="null3"/>
              <w:spacing w:after="165"/>
              <w:ind w:firstLine="480"/>
            </w:pPr>
            <w:r>
              <w:rPr>
                <w:rFonts w:ascii="仿宋_GB2312" w:hAnsi="仿宋_GB2312" w:cs="仿宋_GB2312" w:eastAsia="仿宋_GB2312"/>
                <w:sz w:val="24"/>
              </w:rPr>
              <w:t xml:space="preserve">4. </w:t>
            </w:r>
            <w:r>
              <w:rPr>
                <w:rFonts w:ascii="仿宋_GB2312" w:hAnsi="仿宋_GB2312" w:cs="仿宋_GB2312" w:eastAsia="仿宋_GB2312"/>
                <w:sz w:val="24"/>
              </w:rPr>
              <w:t>争议解决：双方因合同履行发生争议，应协商解决；协商不成的，提交采购单位所在地人民法院诉讼解决。</w:t>
            </w:r>
          </w:p>
          <w:p>
            <w:pPr>
              <w:pStyle w:val="null3"/>
              <w:spacing w:after="165"/>
              <w:ind w:firstLine="480"/>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第二季度初向成交单位支付费用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第三季度初向成交供应商支付费用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第四季度初向成交供应商支付费用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盖章是指加盖单位印章。（5）各供应商所有分项报价（与最后磋商报价比例一致）同比例下浮。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业绩.docx 服务内容及服务邀请应答表 中小企业声明函 商务应答表 分项报价明细表.docx 报价表 资格证明文件.docx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供应商对本项目情况 的理解和熟悉程度</w:t>
            </w:r>
          </w:p>
        </w:tc>
        <w:tc>
          <w:tcPr>
            <w:tcW w:type="dxa" w:w="2492"/>
          </w:tcPr>
          <w:p>
            <w:pPr>
              <w:pStyle w:val="null3"/>
            </w:pPr>
            <w:r>
              <w:rPr>
                <w:rFonts w:ascii="仿宋_GB2312" w:hAnsi="仿宋_GB2312" w:cs="仿宋_GB2312" w:eastAsia="仿宋_GB2312"/>
              </w:rPr>
              <w:t>供应商对本项目情况的理解和熟悉程度，包含但不限于：项目核心目标、项目范围边界、项目背景与政策、技术与标准条件等完整章节，缺一项或不满足扣3分，内容空泛存在瑕疵和1分，扣完为止。“瑕疵”指内容明显错误，或内容表述前后矛盾或 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供应商提供的服务方案完整性可操作性</w:t>
            </w:r>
          </w:p>
        </w:tc>
        <w:tc>
          <w:tcPr>
            <w:tcW w:type="dxa" w:w="2492"/>
          </w:tcPr>
          <w:p>
            <w:pPr>
              <w:pStyle w:val="null3"/>
            </w:pPr>
            <w:r>
              <w:rPr>
                <w:rFonts w:ascii="仿宋_GB2312" w:hAnsi="仿宋_GB2312" w:cs="仿宋_GB2312" w:eastAsia="仿宋_GB2312"/>
              </w:rPr>
              <w:t>供应商提供的服务方案完整性可操作性，包含但不限于：全流程服务模块、专项保障方案、进度与成本可控、变更与沟通机制等完整章节，缺一项或不满足扣3分，内容空泛存在瑕疵和1分，扣完为止。“瑕疵”指内容明显错误，或内容表述前后矛盾或 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供应商对项目服务的承诺情况</w:t>
            </w:r>
          </w:p>
        </w:tc>
        <w:tc>
          <w:tcPr>
            <w:tcW w:type="dxa" w:w="2492"/>
          </w:tcPr>
          <w:p>
            <w:pPr>
              <w:pStyle w:val="null3"/>
            </w:pPr>
            <w:r>
              <w:rPr>
                <w:rFonts w:ascii="仿宋_GB2312" w:hAnsi="仿宋_GB2312" w:cs="仿宋_GB2312" w:eastAsia="仿宋_GB2312"/>
              </w:rPr>
              <w:t>供应商对项目服务的承诺情况，包含但不限于：质量承诺、人员与资源承诺、响应与售后承诺、合规与风险、承诺应急与变更承诺等完整章节，缺一项或不满足扣2分，内容空泛存在瑕疵和1分，扣完为止。“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项目特点、难点、重点技术问题分析和论述</w:t>
            </w:r>
          </w:p>
        </w:tc>
        <w:tc>
          <w:tcPr>
            <w:tcW w:type="dxa" w:w="2492"/>
          </w:tcPr>
          <w:p>
            <w:pPr>
              <w:pStyle w:val="null3"/>
            </w:pPr>
            <w:r>
              <w:rPr>
                <w:rFonts w:ascii="仿宋_GB2312" w:hAnsi="仿宋_GB2312" w:cs="仿宋_GB2312" w:eastAsia="仿宋_GB2312"/>
              </w:rPr>
              <w:t>供应商对项目特点、难点、重点技术问题分析和论述，包含但不限于：项目重点、重点任务拆解、服务特点、差异化方案、难点识别、风险防控等完整章节，缺一项或不满足扣2分，内容空泛存在瑕疵和1分，扣完为止。“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供应商提供的服务措施完整性可操作性</w:t>
            </w:r>
          </w:p>
        </w:tc>
        <w:tc>
          <w:tcPr>
            <w:tcW w:type="dxa" w:w="2492"/>
          </w:tcPr>
          <w:p>
            <w:pPr>
              <w:pStyle w:val="null3"/>
            </w:pPr>
            <w:r>
              <w:rPr>
                <w:rFonts w:ascii="仿宋_GB2312" w:hAnsi="仿宋_GB2312" w:cs="仿宋_GB2312" w:eastAsia="仿宋_GB2312"/>
              </w:rPr>
              <w:t>供应商提供的服务措施完整性可操作性，包含但不限于：技术设施运维、信息处理服务、业务支撑服务、安全保密保障、服务管理体系等完整章节，缺一项或不满足扣2分，内容空泛存在瑕疵和1分，扣完为止。“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供应商对项目服务的保证措施</w:t>
            </w:r>
          </w:p>
        </w:tc>
        <w:tc>
          <w:tcPr>
            <w:tcW w:type="dxa" w:w="2492"/>
          </w:tcPr>
          <w:p>
            <w:pPr>
              <w:pStyle w:val="null3"/>
            </w:pPr>
            <w:r>
              <w:rPr>
                <w:rFonts w:ascii="仿宋_GB2312" w:hAnsi="仿宋_GB2312" w:cs="仿宋_GB2312" w:eastAsia="仿宋_GB2312"/>
              </w:rPr>
              <w:t>供应商对项目服务的保证措施，包含但不限于：组织管理措施、应急处置措施、人员保障措施、质量管控措施、合规与安全保障措施等完整章节，缺一项或不满足扣2分，内容空泛存在瑕疵和1分，扣完为止。“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拟投入本项目负责人</w:t>
            </w:r>
          </w:p>
        </w:tc>
        <w:tc>
          <w:tcPr>
            <w:tcW w:type="dxa" w:w="2492"/>
          </w:tcPr>
          <w:p>
            <w:pPr>
              <w:pStyle w:val="null3"/>
            </w:pPr>
            <w:r>
              <w:rPr>
                <w:rFonts w:ascii="仿宋_GB2312" w:hAnsi="仿宋_GB2312" w:cs="仿宋_GB2312" w:eastAsia="仿宋_GB2312"/>
              </w:rPr>
              <w:t>具备大专及以上学历，得3分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拟投入本项目成员</w:t>
            </w:r>
          </w:p>
        </w:tc>
        <w:tc>
          <w:tcPr>
            <w:tcW w:type="dxa" w:w="2492"/>
          </w:tcPr>
          <w:p>
            <w:pPr>
              <w:pStyle w:val="null3"/>
            </w:pPr>
            <w:r>
              <w:rPr>
                <w:rFonts w:ascii="仿宋_GB2312" w:hAnsi="仿宋_GB2312" w:cs="仿宋_GB2312" w:eastAsia="仿宋_GB2312"/>
              </w:rPr>
              <w:t>提供拟投入本项目成员名单，包括但不限于班组管理、岗位配置（包括姓名、年龄、学历、职位、毕业证书、项目经历等）、人员综合素质等相关内容。缺一项或不满足扣2分，内容空泛存在瑕疵扣1分，扣完为止。“瑕疵”指内容明显错误，或内容表述前后矛盾或内容不完整或表达简单笼统或缺少关键点，或不适用本项目特性、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供应商提供近2022年1月1日以来(以合同签订日期为准)类似的项目业绩，每提供一个合 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