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6111B">
      <w:pPr>
        <w:rPr>
          <w:rFonts w:hint="eastAsia"/>
          <w:b/>
          <w:bCs/>
          <w:sz w:val="28"/>
          <w:szCs w:val="32"/>
          <w:lang w:val="en-US" w:eastAsia="zh-CN"/>
        </w:rPr>
      </w:pPr>
      <w:r>
        <w:rPr>
          <w:rFonts w:hint="eastAsia"/>
          <w:b/>
          <w:bCs/>
          <w:sz w:val="28"/>
          <w:szCs w:val="32"/>
          <w:lang w:val="en-US" w:eastAsia="zh-CN"/>
        </w:rPr>
        <w:t>合同模板</w:t>
      </w:r>
    </w:p>
    <w:p w14:paraId="2DBA769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eastAsiaTheme="minorEastAsia"/>
          <w:b/>
          <w:bCs/>
          <w:sz w:val="28"/>
          <w:szCs w:val="36"/>
          <w:lang w:val="en-US" w:eastAsia="zh-CN"/>
        </w:rPr>
      </w:pPr>
      <w:r>
        <w:rPr>
          <w:rFonts w:hint="eastAsia"/>
          <w:b/>
          <w:bCs/>
          <w:sz w:val="28"/>
          <w:szCs w:val="36"/>
          <w:lang w:val="en-US" w:eastAsia="zh-CN"/>
        </w:rPr>
        <w:t>项目编号：</w:t>
      </w:r>
    </w:p>
    <w:p w14:paraId="4C7BF6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36"/>
          <w:szCs w:val="44"/>
        </w:rPr>
      </w:pPr>
    </w:p>
    <w:p w14:paraId="204161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36"/>
          <w:szCs w:val="44"/>
        </w:rPr>
      </w:pPr>
    </w:p>
    <w:p w14:paraId="2F61AA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40"/>
          <w:szCs w:val="48"/>
        </w:rPr>
      </w:pPr>
      <w:r>
        <w:rPr>
          <w:rFonts w:hint="eastAsia"/>
          <w:b/>
          <w:bCs/>
          <w:sz w:val="40"/>
          <w:szCs w:val="48"/>
        </w:rPr>
        <w:t>雁塔区政务服务中心职工餐厅餐饮服务外包项目合同</w:t>
      </w:r>
    </w:p>
    <w:p w14:paraId="37CE3CB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2345E56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49A09EB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1DBC797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75AB5B4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4FB6732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4DC8FBB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2730619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23C54D0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26C8D246">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04CF92DA">
      <w:pPr>
        <w:keepNext w:val="0"/>
        <w:keepLines w:val="0"/>
        <w:pageBreakBefore w:val="0"/>
        <w:widowControl w:val="0"/>
        <w:kinsoku/>
        <w:wordWrap/>
        <w:overflowPunct/>
        <w:topLinePunct w:val="0"/>
        <w:autoSpaceDE/>
        <w:autoSpaceDN/>
        <w:bidi w:val="0"/>
        <w:adjustRightInd/>
        <w:snapToGrid/>
        <w:spacing w:line="360" w:lineRule="auto"/>
        <w:ind w:firstLine="2811" w:firstLineChars="1000"/>
        <w:jc w:val="both"/>
        <w:textAlignment w:val="auto"/>
        <w:rPr>
          <w:rFonts w:hint="eastAsia"/>
          <w:b/>
          <w:bCs/>
          <w:sz w:val="28"/>
          <w:szCs w:val="36"/>
          <w:u w:val="single"/>
          <w:lang w:val="en-US" w:eastAsia="zh-CN"/>
        </w:rPr>
      </w:pPr>
      <w:r>
        <w:rPr>
          <w:rFonts w:hint="eastAsia"/>
          <w:b/>
          <w:bCs/>
          <w:sz w:val="28"/>
          <w:szCs w:val="36"/>
          <w:lang w:val="en-US" w:eastAsia="zh-CN"/>
        </w:rPr>
        <w:t>甲方：</w:t>
      </w:r>
      <w:r>
        <w:rPr>
          <w:rFonts w:hint="eastAsia"/>
          <w:b/>
          <w:bCs/>
          <w:sz w:val="28"/>
          <w:szCs w:val="36"/>
          <w:u w:val="single"/>
          <w:lang w:val="en-US" w:eastAsia="zh-CN"/>
        </w:rPr>
        <w:t xml:space="preserve">                  </w:t>
      </w:r>
    </w:p>
    <w:p w14:paraId="0AEE004E">
      <w:pPr>
        <w:keepNext w:val="0"/>
        <w:keepLines w:val="0"/>
        <w:pageBreakBefore w:val="0"/>
        <w:widowControl w:val="0"/>
        <w:kinsoku/>
        <w:wordWrap/>
        <w:overflowPunct/>
        <w:topLinePunct w:val="0"/>
        <w:autoSpaceDE/>
        <w:autoSpaceDN/>
        <w:bidi w:val="0"/>
        <w:adjustRightInd/>
        <w:snapToGrid/>
        <w:spacing w:line="360" w:lineRule="auto"/>
        <w:ind w:firstLine="2811" w:firstLineChars="1000"/>
        <w:jc w:val="both"/>
        <w:textAlignment w:val="auto"/>
        <w:rPr>
          <w:rFonts w:hint="default"/>
          <w:b/>
          <w:bCs/>
          <w:sz w:val="28"/>
          <w:szCs w:val="36"/>
          <w:u w:val="single"/>
          <w:lang w:val="en-US" w:eastAsia="zh-CN"/>
        </w:rPr>
      </w:pPr>
    </w:p>
    <w:p w14:paraId="564E4AA9">
      <w:pPr>
        <w:keepNext w:val="0"/>
        <w:keepLines w:val="0"/>
        <w:pageBreakBefore w:val="0"/>
        <w:widowControl w:val="0"/>
        <w:kinsoku/>
        <w:wordWrap/>
        <w:overflowPunct/>
        <w:topLinePunct w:val="0"/>
        <w:autoSpaceDE/>
        <w:autoSpaceDN/>
        <w:bidi w:val="0"/>
        <w:adjustRightInd/>
        <w:snapToGrid/>
        <w:spacing w:line="360" w:lineRule="auto"/>
        <w:ind w:firstLine="2811" w:firstLineChars="1000"/>
        <w:jc w:val="both"/>
        <w:textAlignment w:val="auto"/>
        <w:rPr>
          <w:rFonts w:hint="default"/>
          <w:b/>
          <w:bCs/>
          <w:sz w:val="28"/>
          <w:szCs w:val="36"/>
          <w:u w:val="single"/>
          <w:lang w:val="en-US" w:eastAsia="zh-CN"/>
        </w:rPr>
      </w:pPr>
      <w:r>
        <w:rPr>
          <w:rFonts w:hint="eastAsia"/>
          <w:b/>
          <w:bCs/>
          <w:sz w:val="28"/>
          <w:szCs w:val="36"/>
          <w:lang w:val="en-US" w:eastAsia="zh-CN"/>
        </w:rPr>
        <w:t>乙方：</w:t>
      </w:r>
      <w:r>
        <w:rPr>
          <w:rFonts w:hint="eastAsia"/>
          <w:b/>
          <w:bCs/>
          <w:sz w:val="28"/>
          <w:szCs w:val="36"/>
          <w:u w:val="single"/>
          <w:lang w:val="en-US" w:eastAsia="zh-CN"/>
        </w:rPr>
        <w:t xml:space="preserve">                  </w:t>
      </w:r>
    </w:p>
    <w:p w14:paraId="2211A3C4">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b/>
          <w:bCs/>
          <w:sz w:val="28"/>
          <w:szCs w:val="36"/>
          <w:lang w:val="en-US" w:eastAsia="zh-CN"/>
        </w:rPr>
      </w:pPr>
    </w:p>
    <w:p w14:paraId="7C981501">
      <w:pPr>
        <w:keepNext w:val="0"/>
        <w:keepLines w:val="0"/>
        <w:pageBreakBefore w:val="0"/>
        <w:widowControl w:val="0"/>
        <w:kinsoku/>
        <w:wordWrap/>
        <w:overflowPunct/>
        <w:topLinePunct w:val="0"/>
        <w:autoSpaceDE/>
        <w:autoSpaceDN/>
        <w:bidi w:val="0"/>
        <w:adjustRightInd/>
        <w:snapToGrid/>
        <w:spacing w:line="360" w:lineRule="auto"/>
        <w:ind w:firstLine="2811" w:firstLineChars="1000"/>
        <w:jc w:val="both"/>
        <w:textAlignment w:val="auto"/>
        <w:rPr>
          <w:rFonts w:hint="default"/>
          <w:b/>
          <w:bCs/>
          <w:sz w:val="28"/>
          <w:szCs w:val="36"/>
          <w:u w:val="single"/>
          <w:lang w:val="en-US" w:eastAsia="zh-CN"/>
        </w:rPr>
      </w:pPr>
      <w:r>
        <w:rPr>
          <w:rFonts w:hint="eastAsia"/>
          <w:b/>
          <w:bCs/>
          <w:sz w:val="28"/>
          <w:szCs w:val="36"/>
          <w:lang w:val="en-US" w:eastAsia="zh-CN"/>
        </w:rPr>
        <w:t>签订日期：</w:t>
      </w:r>
      <w:r>
        <w:rPr>
          <w:rFonts w:hint="eastAsia"/>
          <w:b/>
          <w:bCs/>
          <w:sz w:val="28"/>
          <w:szCs w:val="36"/>
          <w:u w:val="single"/>
          <w:lang w:val="en-US" w:eastAsia="zh-CN"/>
        </w:rPr>
        <w:t xml:space="preserve">              </w:t>
      </w:r>
    </w:p>
    <w:p w14:paraId="4BD00C0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default"/>
          <w:b w:val="0"/>
          <w:bCs w:val="0"/>
          <w:sz w:val="28"/>
          <w:szCs w:val="36"/>
          <w:lang w:val="en-US" w:eastAsia="zh-CN"/>
        </w:rPr>
      </w:pPr>
    </w:p>
    <w:p w14:paraId="447929C7">
      <w:pPr>
        <w:keepNext w:val="0"/>
        <w:keepLines w:val="0"/>
        <w:pageBreakBefore w:val="0"/>
        <w:widowControl w:val="0"/>
        <w:kinsoku/>
        <w:wordWrap/>
        <w:overflowPunct/>
        <w:topLinePunct w:val="0"/>
        <w:autoSpaceDE/>
        <w:autoSpaceDN/>
        <w:bidi w:val="0"/>
        <w:adjustRightInd/>
        <w:snapToGrid/>
        <w:spacing w:line="360" w:lineRule="auto"/>
        <w:ind w:firstLine="2811" w:firstLineChars="1000"/>
        <w:jc w:val="both"/>
        <w:textAlignment w:val="auto"/>
        <w:rPr>
          <w:rFonts w:hint="default" w:eastAsiaTheme="minorEastAsia"/>
          <w:b/>
          <w:bCs/>
          <w:sz w:val="28"/>
          <w:szCs w:val="36"/>
          <w:lang w:val="en-US" w:eastAsia="zh-CN"/>
        </w:rPr>
      </w:pPr>
      <w:r>
        <w:rPr>
          <w:rFonts w:hint="eastAsia"/>
          <w:b/>
          <w:bCs/>
          <w:sz w:val="28"/>
          <w:szCs w:val="36"/>
          <w:lang w:val="en-US" w:eastAsia="zh-CN"/>
        </w:rPr>
        <w:t>签订地点：</w:t>
      </w:r>
      <w:r>
        <w:rPr>
          <w:rFonts w:hint="eastAsia"/>
          <w:b/>
          <w:bCs/>
          <w:sz w:val="28"/>
          <w:szCs w:val="36"/>
          <w:u w:val="single"/>
          <w:lang w:val="en-US" w:eastAsia="zh-CN"/>
        </w:rPr>
        <w:t xml:space="preserve">              </w:t>
      </w:r>
    </w:p>
    <w:p w14:paraId="1AFA9B0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7DCBC7C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6E52E41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p>
    <w:p w14:paraId="442BC0F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b/>
          <w:bCs/>
          <w:sz w:val="24"/>
          <w:szCs w:val="32"/>
        </w:rPr>
      </w:pPr>
      <w:r>
        <w:rPr>
          <w:rFonts w:hint="eastAsia"/>
          <w:b/>
          <w:bCs/>
          <w:sz w:val="24"/>
          <w:szCs w:val="32"/>
        </w:rPr>
        <w:t>政府采购合同说明</w:t>
      </w:r>
    </w:p>
    <w:p w14:paraId="20E59F8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1、术语定义</w:t>
      </w:r>
    </w:p>
    <w:p w14:paraId="44627A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本政府采购合同下列术语应解释为：</w:t>
      </w:r>
    </w:p>
    <w:p w14:paraId="1A7B66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1.1 “政府采购合同” 指供需双方依照政府采购程序、按照磋商文件、响应文件确定的事项所达成的协议，包括附件、附录和上述文件所提到的构成政府采购合同的所有文件。</w:t>
      </w:r>
    </w:p>
    <w:p w14:paraId="585071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1.2 “政府采购合同价” 指根据合同约定乙方在正确地完全履行政府采购合同义务后甲方应支付给乙方的价格。</w:t>
      </w:r>
    </w:p>
    <w:p w14:paraId="5DD036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1.3 “服务” 指政府采购合同服务单同响应文件中开标一览表及其附表（下同）所约定的服务内容。</w:t>
      </w:r>
    </w:p>
    <w:p w14:paraId="6F1839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1.4 “甲方” 指项目基本内容及要求中所述取得产品和服务的采购单位。</w:t>
      </w:r>
    </w:p>
    <w:p w14:paraId="73877A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1.5 “乙方” 指项目基本内容及要求中所述提供产品和服务的中标供应商。</w:t>
      </w:r>
    </w:p>
    <w:p w14:paraId="2BD230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1.6 “检验” 指甲方按照政府采购合同约定的标准对乙方所提供服务进行的检测和查验。</w:t>
      </w:r>
    </w:p>
    <w:p w14:paraId="72AC475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1.7 “验收书” 指采购单位或采购代理机构根据合同约验收意见书形成反映采购单位和组织验收机构意见的文件。</w:t>
      </w:r>
    </w:p>
    <w:p w14:paraId="786586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1.8 “天” 指日历天数（如无特别说明）。</w:t>
      </w:r>
    </w:p>
    <w:p w14:paraId="2A2CCE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1.9 “第三人” 是指本政府采购合同双方以外的任何中国境内外的自然人、法人或其它经济组织。</w:t>
      </w:r>
    </w:p>
    <w:p w14:paraId="5DE0C0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1.10 “法律、法规” 是指由中国各级政府及有关部门制定的法律、行政法规、地方性法规、规章及其它规范性文件的有关规定。</w:t>
      </w:r>
    </w:p>
    <w:p w14:paraId="73D490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1.11 “磋商文件” 指采购人或采购代理机构发布的磋商文件。</w:t>
      </w:r>
    </w:p>
    <w:p w14:paraId="611DBF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1.12 “响应文件” 指乙方按照采购代理机构磋商文件的要求编制和递交，并最终被磋商小组接受的响应文件。</w:t>
      </w:r>
    </w:p>
    <w:p w14:paraId="47A7742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2、技术规范与服务内容</w:t>
      </w:r>
    </w:p>
    <w:p w14:paraId="4C27B5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2.1 投标服务的技术规范应与磋商文件规定的技术规范（如果有的话）相一致。若无相应说明，则以国家有关部门最新颁布的相应标识及规范为准。</w:t>
      </w:r>
    </w:p>
    <w:p w14:paraId="62C95B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2.2 投标服务的服务内容应与磋商文件规定服务内容及响应文件中的项目要求及磋商响应表一致。</w:t>
      </w:r>
    </w:p>
    <w:p w14:paraId="0153322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3、知识产权</w:t>
      </w:r>
    </w:p>
    <w:p w14:paraId="0FC983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3.1 乙方应保证甲方在使用本政府采购合同项下的服务或其任何一部分时免受第三方提出侵犯其知识产权、商标权或工业设计权的起诉。如果发生此类问题，乙方负责交涉、处理并承担由此引起的全部法律及经济责任。</w:t>
      </w:r>
    </w:p>
    <w:p w14:paraId="6F51DA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3.2 乙方应保证所供服务符合国家的有关规定。</w:t>
      </w:r>
    </w:p>
    <w:p w14:paraId="4806CD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3.3 乙方保证，乙方依据本政府采购合同提供的服务及相关的技术资料，乙方均已得到有关知识产权的权利人的合法授权，如发生涉及到专利权、著作权、商标权等争议，乙方负责交涉、处理，并承担由此引起的全部法律及经济责任。</w:t>
      </w:r>
    </w:p>
    <w:p w14:paraId="5ACB21E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4、完成方式</w:t>
      </w:r>
    </w:p>
    <w:p w14:paraId="495B39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乙方按照合同约定的时间、地点完成服务。</w:t>
      </w:r>
    </w:p>
    <w:p w14:paraId="429C39F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5、付款</w:t>
      </w:r>
    </w:p>
    <w:p w14:paraId="417937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5.1 政府采购合同以人民币付款。</w:t>
      </w:r>
    </w:p>
    <w:p w14:paraId="307EFA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5.2 在乙方按照政府采购合同的规定履行服务后，甲方按照合同约定的方式和条件付款。</w:t>
      </w:r>
    </w:p>
    <w:p w14:paraId="00999D9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5.3 服务期最后一次付款，参照服务期总体履约验收情况和该项目绩效评价情况，验收及绩效评价合格后予以付款。</w:t>
      </w:r>
    </w:p>
    <w:p w14:paraId="7865766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6、服务质量</w:t>
      </w:r>
    </w:p>
    <w:p w14:paraId="17D73E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6.1 乙方应保证政府采购合同项下所供服务是由乙方提供的，并完全符合强制性的国家技术质量规范和政府采购合同规定的质量、性能和技术规范等要求。</w:t>
      </w:r>
    </w:p>
    <w:p w14:paraId="19D29C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6.2 乙方提供的服务质量应满足行业一般标准，符合合同约定。</w:t>
      </w:r>
    </w:p>
    <w:p w14:paraId="44C8D1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6.3 服务期最后一个月，甲方对乙方服务期内各项服务的履约情况进行验收，并出具验收单。</w:t>
      </w:r>
    </w:p>
    <w:p w14:paraId="46E0862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7、违约责任</w:t>
      </w:r>
    </w:p>
    <w:p w14:paraId="6BE422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7.1 如果乙方未按照政府采购合同规定的要求提供服务；或乙方未能履行政府采购合同规定的任何其它义务时，甲方有权向乙方发出违约通知书，乙方应按照甲方选择的下列一种或多种方式承担赔偿责任：</w:t>
      </w:r>
    </w:p>
    <w:p w14:paraId="201817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7.1.1 在甲方同意延长的期限内提供服务并承担由此给甲方造成的一切损失；</w:t>
      </w:r>
    </w:p>
    <w:p w14:paraId="5924F7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7.1.2 在甲方规定的时间，用符合政府采购合同规定的服务以达到政府采购合同规定的要求，乙方应承担由此发生的一切费用和风险。此时，相关服务的期限也应相应延长；</w:t>
      </w:r>
    </w:p>
    <w:p w14:paraId="6D39EE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7.1.3 甲方有权部分或全部解除政府采购合同并要求乙方赔偿由此造成的损失。此时甲方可采取必要的补救措施，相关费用由乙方承担。</w:t>
      </w:r>
    </w:p>
    <w:p w14:paraId="400D29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7.2 如果乙方在收到甲方的违约通知书后 10 日内未作答复也没有按照甲方选择的方式承担违约责任，则甲方有权从履约保证金（如有）、尚未支付的政府采购合同价款中扣回索赔金额。如果这些金额不足以补偿，甲方有权向乙方提出不足部分的赔偿要求。</w:t>
      </w:r>
    </w:p>
    <w:p w14:paraId="3E5663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7.3 以上各项交付的违约金并不影响违约方履行政府采购合同的各项义务。</w:t>
      </w:r>
    </w:p>
    <w:p w14:paraId="6EFFE2B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8、不可抗力</w:t>
      </w:r>
    </w:p>
    <w:p w14:paraId="17F610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8.1 如果乙方和甲方因不可抗力而导致政府采购合同迟延履行或不能履行政府采购合同义务，不应该承担误期赔偿或不能履行政府采购合同义务的责任。因乙方或甲方先延误或不能履行政府采购合同而后遇不可抗力的情形除外。</w:t>
      </w:r>
    </w:p>
    <w:p w14:paraId="1FF418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8.2 本条所述的 “不可抗力” 系指那些双方无法控制，不可预见的事件，但不包括双方的违约或疏忽。这些事件包括但不限于：战争、严重火灾、洪水、台风、地震。</w:t>
      </w:r>
    </w:p>
    <w:p w14:paraId="077444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8.3 在不可抗力事件发生后，当事方应尽快以书面形式将不可抗力的情况和原因通知对方。双方应尽实际可能继续履行政府采购合同义务，并积极寻求采取合理的方案履行不受不可抗力影响的其它事项。双方应通过友好协商在合理的时间内达成进一步履行合同的协议。</w:t>
      </w:r>
    </w:p>
    <w:p w14:paraId="6EB56AD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9、争端的解决</w:t>
      </w:r>
    </w:p>
    <w:p w14:paraId="7D46F8C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9.1 甲方和乙方应通过友好协商，解决在执行本政府采购合同过程中所发生的或与本政府采购合同有关的一切争端。</w:t>
      </w:r>
    </w:p>
    <w:p w14:paraId="250528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9.2 如果协商不成，双方中的任何一方可向甲方所在地的人民法院提起诉讼。</w:t>
      </w:r>
    </w:p>
    <w:p w14:paraId="61B550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9.3 因政府采购合同部分履行引发诉讼的，在诉讼期间，除正在进行诉讼的部分外，本政府采购合同的其它部分应继续执行。</w:t>
      </w:r>
    </w:p>
    <w:p w14:paraId="12A852B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10、违约终止政府采购合同</w:t>
      </w:r>
    </w:p>
    <w:p w14:paraId="354FC9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10.1 在甲方因乙方违约而按政府采购合同约定采取的任何补救措施不起作用的情况下，甲方可在下列情况下向乙方发出书面通知，提出终止部分或全部政府采购合同。</w:t>
      </w:r>
    </w:p>
    <w:p w14:paraId="47E075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10.1.1 如果乙方未能在政府采购合同规定的限期或甲方同意延长的限期内提供部分或全部服务；</w:t>
      </w:r>
    </w:p>
    <w:p w14:paraId="51063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10.1.2 如果乙方未能履行政府采购合同规定的其它任何义务。</w:t>
      </w:r>
    </w:p>
    <w:p w14:paraId="195EE7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10.1.3 未经甲方事先书面同意，乙方部分转让和分包或全部转让和分包其应履行的政府采购合同义务。</w:t>
      </w:r>
    </w:p>
    <w:p w14:paraId="393C51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10.2 如果甲方根据上述规定，终止了全部或部分政府采购合同，甲方可以依其认为适当的条件和方法购买与未履行服务类似的服务，乙方应对购买类似服务所超出的那部分费用负责。乙方应继续履行政府采购合同中未终止的部分。</w:t>
      </w:r>
    </w:p>
    <w:p w14:paraId="4BF656A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11、政府采购法对政府采购合同变更终止的规定</w:t>
      </w:r>
    </w:p>
    <w:p w14:paraId="715EF3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11.1 政府采购合同的双方当事人（指供需双方）不得擅自变更、中止或者终止政府采购合同。</w:t>
      </w:r>
    </w:p>
    <w:p w14:paraId="5BA247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11.2 政府采购合同继续履行将损害国家利益和社会公共利益的，双方当事人应当变更、中止或者终止政府采购合同。有过错的一方应当承担赔偿责任，双方都有过错的，各自承担相应的责任。</w:t>
      </w:r>
    </w:p>
    <w:p w14:paraId="47A3822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12、政府采购合同转让和分包</w:t>
      </w:r>
    </w:p>
    <w:p w14:paraId="4E6130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除磋商文件规定，并经甲方事先书面同意外，乙方不得部分转让和分包或全部转让和分包其应履行的政府采购合同义务。</w:t>
      </w:r>
    </w:p>
    <w:p w14:paraId="5E382A3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13、适用法律</w:t>
      </w:r>
    </w:p>
    <w:p w14:paraId="4700FA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本政府采购合同按照中华人民共和国的现行法律进行解释。</w:t>
      </w:r>
    </w:p>
    <w:p w14:paraId="14B6265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14、政府采购合同生效</w:t>
      </w:r>
    </w:p>
    <w:p w14:paraId="11E86E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14.1 本政府采购合同在双方法定代表人或其授权代理人签字和加盖公章后生效。</w:t>
      </w:r>
    </w:p>
    <w:p w14:paraId="14BE93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14.2 本政府采购合同一式五份，甲方执二份，乙方执二份、采购代理机构执一份。</w:t>
      </w:r>
    </w:p>
    <w:p w14:paraId="36ACE47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15、政府采购合同附件</w:t>
      </w:r>
    </w:p>
    <w:p w14:paraId="15C9EB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下列文件构成本政府采购合同不可分割的组成部分，与本政府采购合同具有同等法律效力：</w:t>
      </w:r>
    </w:p>
    <w:p w14:paraId="774ABC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15.1 竞争性磋商文件；</w:t>
      </w:r>
    </w:p>
    <w:p w14:paraId="5ADE4F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15.2 竞争性磋商文件的更正公告、变更公告；</w:t>
      </w:r>
    </w:p>
    <w:p w14:paraId="449A90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15.3 成交供应商提交的响应文件；</w:t>
      </w:r>
    </w:p>
    <w:p w14:paraId="11ACD5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15.4 政府采购合同条款；</w:t>
      </w:r>
    </w:p>
    <w:p w14:paraId="5F03D6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15.5 成交通知书；</w:t>
      </w:r>
    </w:p>
    <w:p w14:paraId="2DDAA5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15.6 政府采购合同的其它附件。</w:t>
      </w:r>
    </w:p>
    <w:p w14:paraId="22C182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5924F8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373583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11CA59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6B89C95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75B4E2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12FD7C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067903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0D5B48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0F672E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8"/>
          <w:szCs w:val="36"/>
        </w:rPr>
      </w:pPr>
      <w:r>
        <w:rPr>
          <w:rFonts w:hint="eastAsia"/>
          <w:b/>
          <w:bCs/>
          <w:sz w:val="28"/>
          <w:szCs w:val="36"/>
        </w:rPr>
        <w:t>雁塔区政务服务中心餐厅服务外包合同</w:t>
      </w:r>
    </w:p>
    <w:p w14:paraId="6F502B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采购人（甲方）：</w:t>
      </w:r>
    </w:p>
    <w:p w14:paraId="0AED58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供应商（乙方）：</w:t>
      </w:r>
    </w:p>
    <w:p w14:paraId="1942B7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根据《中华人民共和国民法典》、《中华人民共和国政府采购法》与项目行业有关的法律法规，以及本项目相关采购要求的规定，合同双方就乙方向甲方提供</w:t>
      </w:r>
      <w:r>
        <w:rPr>
          <w:rFonts w:hint="eastAsia"/>
          <w:sz w:val="24"/>
          <w:szCs w:val="32"/>
          <w:u w:val="single"/>
          <w:lang w:val="en-US" w:eastAsia="zh-CN"/>
        </w:rPr>
        <w:t xml:space="preserve">          </w:t>
      </w:r>
      <w:r>
        <w:rPr>
          <w:rFonts w:hint="eastAsia"/>
          <w:sz w:val="24"/>
          <w:szCs w:val="32"/>
        </w:rPr>
        <w:t>项目事宜，经协商达成一致，确立本合同。</w:t>
      </w:r>
    </w:p>
    <w:p w14:paraId="08CA91F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第一条 项目概况</w:t>
      </w:r>
    </w:p>
    <w:p w14:paraId="51F244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32"/>
          <w:u w:val="single"/>
          <w:lang w:val="en-US" w:eastAsia="zh-CN"/>
        </w:rPr>
      </w:pPr>
      <w:r>
        <w:rPr>
          <w:rFonts w:hint="eastAsia"/>
          <w:sz w:val="24"/>
          <w:szCs w:val="32"/>
        </w:rPr>
        <w:t>1、项目名称：</w:t>
      </w:r>
      <w:r>
        <w:rPr>
          <w:rFonts w:hint="eastAsia"/>
          <w:sz w:val="24"/>
          <w:szCs w:val="32"/>
          <w:u w:val="single"/>
          <w:lang w:val="en-US" w:eastAsia="zh-CN"/>
        </w:rPr>
        <w:t xml:space="preserve">                                    </w:t>
      </w:r>
    </w:p>
    <w:p w14:paraId="3B8C55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2、项目地点：西安市雁塔区电子正街南段与双桥一巷十字西南角</w:t>
      </w:r>
    </w:p>
    <w:p w14:paraId="62BA66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3、项目内容：按照采购方要求，全力做好员工一日三餐（早餐、午餐、晚餐）的服务保障工作</w:t>
      </w:r>
    </w:p>
    <w:p w14:paraId="78C85A9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第二条 合同金额</w:t>
      </w:r>
    </w:p>
    <w:p w14:paraId="6AFD2E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1、合同金额（大写）：本合同期限内乙方全部服务费用为人民币</w:t>
      </w:r>
      <w:r>
        <w:rPr>
          <w:rFonts w:hint="eastAsia"/>
          <w:sz w:val="24"/>
          <w:szCs w:val="32"/>
          <w:u w:val="single"/>
          <w:lang w:val="en-US" w:eastAsia="zh-CN"/>
        </w:rPr>
        <w:t xml:space="preserve">         </w:t>
      </w:r>
      <w:r>
        <w:rPr>
          <w:rFonts w:hint="eastAsia"/>
          <w:sz w:val="24"/>
          <w:szCs w:val="32"/>
        </w:rPr>
        <w:t>。</w:t>
      </w:r>
    </w:p>
    <w:p w14:paraId="136B00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2、以上服务费用包含乙方运营管理产生的全部费用。</w:t>
      </w:r>
    </w:p>
    <w:p w14:paraId="6E166B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3、合同总价即成交价，为一次性报价，不受市场价变化或实际工作量变化的影响。</w:t>
      </w:r>
    </w:p>
    <w:p w14:paraId="1C5E6C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4、合同价格为含税价，乙方提供人力、服务所发生的一切税（包括增值税）费等都已包含于合同价款中。</w:t>
      </w:r>
    </w:p>
    <w:p w14:paraId="4FB926B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第三条 付款方式与进度</w:t>
      </w:r>
    </w:p>
    <w:p w14:paraId="4ABD67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1、根据每月服务外包费用按月支付。</w:t>
      </w:r>
    </w:p>
    <w:p w14:paraId="7C848A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2、支付方式：银行转账。</w:t>
      </w:r>
    </w:p>
    <w:p w14:paraId="1C917A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3、结算方式：乙方每月 5 日前向甲方提供正式发票，甲方每月 15 日前向乙方支付上月费用。因乙方延迟提供发票造成付款逾期的，甲方不承担任何违约责任。按月据实结算，首月至第十一个月达到付款条件起20日内，支付合同总金额的7.9%。第十二个月达到付款条件起20日内，支付合同总金额的8.1%。服务期满验收合格，绩效评价合格后，达到付款条件起20日内，支付合同总金额的5%。服务期每次付款前，乙方应提供等额的有效发票。</w:t>
      </w:r>
    </w:p>
    <w:p w14:paraId="11806C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4、乙方银行账户信息如下：</w:t>
      </w:r>
    </w:p>
    <w:p w14:paraId="051BAF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32"/>
          <w:lang w:val="en-US" w:eastAsia="zh-CN"/>
        </w:rPr>
      </w:pPr>
      <w:r>
        <w:rPr>
          <w:rFonts w:hint="eastAsia"/>
          <w:sz w:val="24"/>
          <w:szCs w:val="32"/>
        </w:rPr>
        <w:t>公司名称：</w:t>
      </w:r>
      <w:r>
        <w:rPr>
          <w:rFonts w:hint="eastAsia"/>
          <w:sz w:val="24"/>
          <w:szCs w:val="32"/>
          <w:u w:val="single"/>
          <w:lang w:val="en-US" w:eastAsia="zh-CN"/>
        </w:rPr>
        <w:t xml:space="preserve">                           </w:t>
      </w:r>
    </w:p>
    <w:p w14:paraId="27BA75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纳税人识别号：</w:t>
      </w:r>
      <w:r>
        <w:rPr>
          <w:rFonts w:hint="eastAsia"/>
          <w:sz w:val="24"/>
          <w:szCs w:val="32"/>
          <w:u w:val="single"/>
          <w:lang w:val="en-US" w:eastAsia="zh-CN"/>
        </w:rPr>
        <w:t xml:space="preserve">                       </w:t>
      </w:r>
    </w:p>
    <w:p w14:paraId="47166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u w:val="single"/>
          <w:lang w:val="en-US" w:eastAsia="zh-CN"/>
        </w:rPr>
      </w:pPr>
      <w:r>
        <w:rPr>
          <w:rFonts w:hint="eastAsia"/>
          <w:sz w:val="24"/>
          <w:szCs w:val="32"/>
        </w:rPr>
        <w:t>银行账号：</w:t>
      </w:r>
      <w:r>
        <w:rPr>
          <w:rFonts w:hint="eastAsia"/>
          <w:sz w:val="24"/>
          <w:szCs w:val="32"/>
          <w:u w:val="single"/>
          <w:lang w:val="en-US" w:eastAsia="zh-CN"/>
        </w:rPr>
        <w:t xml:space="preserve">                           </w:t>
      </w:r>
    </w:p>
    <w:p w14:paraId="083A02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32"/>
          <w:lang w:val="en-US"/>
        </w:rPr>
      </w:pPr>
      <w:r>
        <w:rPr>
          <w:rFonts w:hint="eastAsia"/>
          <w:sz w:val="24"/>
          <w:szCs w:val="32"/>
        </w:rPr>
        <w:t>开户银行：</w:t>
      </w:r>
      <w:r>
        <w:rPr>
          <w:rFonts w:hint="eastAsia"/>
          <w:sz w:val="24"/>
          <w:szCs w:val="32"/>
          <w:u w:val="single"/>
          <w:lang w:val="en-US" w:eastAsia="zh-CN"/>
        </w:rPr>
        <w:t xml:space="preserve">                           </w:t>
      </w:r>
    </w:p>
    <w:p w14:paraId="3F9CE7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u w:val="single"/>
          <w:lang w:val="en-US" w:eastAsia="zh-CN"/>
        </w:rPr>
      </w:pPr>
      <w:r>
        <w:rPr>
          <w:rFonts w:hint="eastAsia"/>
          <w:sz w:val="24"/>
          <w:szCs w:val="32"/>
        </w:rPr>
        <w:t>公司地址：</w:t>
      </w:r>
      <w:r>
        <w:rPr>
          <w:rFonts w:hint="eastAsia"/>
          <w:sz w:val="24"/>
          <w:szCs w:val="32"/>
          <w:u w:val="single"/>
          <w:lang w:val="en-US" w:eastAsia="zh-CN"/>
        </w:rPr>
        <w:t xml:space="preserve">                           </w:t>
      </w:r>
    </w:p>
    <w:p w14:paraId="680CA0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u w:val="single"/>
          <w:lang w:val="en-US" w:eastAsia="zh-CN"/>
        </w:rPr>
      </w:pPr>
      <w:r>
        <w:rPr>
          <w:rFonts w:hint="eastAsia"/>
          <w:sz w:val="24"/>
          <w:szCs w:val="32"/>
        </w:rPr>
        <w:t>电话：</w:t>
      </w:r>
      <w:r>
        <w:rPr>
          <w:rFonts w:hint="eastAsia"/>
          <w:sz w:val="24"/>
          <w:szCs w:val="32"/>
          <w:u w:val="single"/>
          <w:lang w:val="en-US" w:eastAsia="zh-CN"/>
        </w:rPr>
        <w:t xml:space="preserve">                               </w:t>
      </w:r>
    </w:p>
    <w:p w14:paraId="630CD78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第四条 服务内容及要求</w:t>
      </w:r>
    </w:p>
    <w:p w14:paraId="08F15D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甲方负责提供符合安全生产管理规定的经营场所、设施设备、餐具用具、餐桌椅等物品及各类生产用房及水、电、暖、燃气、照明设施设备并可以正常使用，承担乙方在经营场所产生的水电气等全部费用。乙方应遵循节能环保的基本准则开展相关工作，节约用水、用电。</w:t>
      </w:r>
    </w:p>
    <w:p w14:paraId="325DF0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2、甲方负责餐厅天然气管道检修维护、气表检测年检、设施设备等物品的维修保养。燃气及用电安全由乙方负责，由此引起的不安全事件由乙方自行承担。</w:t>
      </w:r>
    </w:p>
    <w:p w14:paraId="375544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3、乙方按照甲方要求，全力做好员工一日三餐（早餐、午餐、晚餐）的服务保障工作。</w:t>
      </w:r>
    </w:p>
    <w:p w14:paraId="7493D2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4、供餐要求：</w:t>
      </w:r>
    </w:p>
    <w:p w14:paraId="13380C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（1）早餐：小菜 2 种，开胃菜 2 种，主食 2 种，蛋类 1 种，汤粥 2 种，牛奶 1 种。</w:t>
      </w:r>
    </w:p>
    <w:p w14:paraId="2BC0A2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（2）午餐：热菜 5 种（3 荤 2 素），主食 2 种（面食一种，米饭一种），汤类 1 种，水果 1 种。面食类每周五天不能重复（可安排各种面食、饺子、米线、羊血饸络、泡馍、水盆等）。</w:t>
      </w:r>
    </w:p>
    <w:p w14:paraId="029625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（3）晚餐：热菜 2 种，小菜 2 种，主食 2 种，汤粥 2 种。</w:t>
      </w:r>
    </w:p>
    <w:p w14:paraId="53E307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5、就餐时间及形式：</w:t>
      </w:r>
    </w:p>
    <w:p w14:paraId="47A7D3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（1）早餐：8:00-8:40</w:t>
      </w:r>
    </w:p>
    <w:p w14:paraId="212CA3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（2）午餐：12:00-12:40</w:t>
      </w:r>
    </w:p>
    <w:p w14:paraId="4486C8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（3）晚餐：18:00-18:40</w:t>
      </w:r>
    </w:p>
    <w:p w14:paraId="461770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餐厅为档口打餐形式，职工刷卡就餐，每次就餐只刷一次卡，只能选择米饭类或面食类一种，在规定的开饭时间内供应不脱销、不断档。</w:t>
      </w:r>
    </w:p>
    <w:p w14:paraId="1E658C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6、乙方工作人员必须身体健康，仪容端正，品德良好，无违法犯罪记录，乙方保证所有上岗工作人员身份证、健康证齐全、有效，并报甲方备案。</w:t>
      </w:r>
    </w:p>
    <w:p w14:paraId="06CC80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7、乙方必须在节假日期间根据甲方要求留有足够的保障人员，确保甲方值班人员及加班人员的饮食保障服务。</w:t>
      </w:r>
    </w:p>
    <w:p w14:paraId="3F8436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8、根据就餐人数，要求配置 16 人进行服务保障，所有人员不得有任何违法犯罪记录。</w:t>
      </w:r>
    </w:p>
    <w:p w14:paraId="7D5AA9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9、乙方应当办理餐厅《食品经营许可证》，并指派符合甲方需求的专业人员完成工作。乙方必须按照甲方的要求，按时保质、保量地提供优质服务，保证甲方满意，不得分包、转包。</w:t>
      </w:r>
    </w:p>
    <w:p w14:paraId="3BD1C0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10、乙方用工制度根据实际工作需要自行制订，但必须符合国家相关法律、法规。在合同期间，乙方需妥善处理指派甲方工作人员的劳动关系、劳务关系、雇佣关系等，甲方不因乙方人员在机关食堂内工作而承担任何用人单位、用工单位、雇主等责任。甲方若承担责任的，有权向乙方追偿，并要求乙方赔偿损失。</w:t>
      </w:r>
    </w:p>
    <w:p w14:paraId="5D2506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11、乙方定期对员工进行入职培训、消防培训、保密培训、食品安全培训等岗位培训，不断提高员工素质及技能，遵守甲方内部管理措施。</w:t>
      </w:r>
    </w:p>
    <w:p w14:paraId="539EF8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12、食堂消防、安全、卫生、环境建设由乙方负责。乙方在承包期间，应严格执行《食品安全法》，确保食品质量，杜绝发生食品安全事件，由于管理不善或乙方人员操作等因素引发的食品卫生安全事件，由乙方负全部责任，并无条件进行善后处理，甲方配合。</w:t>
      </w:r>
    </w:p>
    <w:p w14:paraId="7D5FF7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13、甲方不承担乙方在合同服务期内造成人员意外伤害责任，包括但不限于对自身及第三人造成的伤害；因自然灾害或不可抗拒力量发生的安全事故，乙方不承担责任，但因乙方存在过错，导致甲方损失扩大的除外。</w:t>
      </w:r>
    </w:p>
    <w:p w14:paraId="76B2002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第五条 服务期限</w:t>
      </w:r>
    </w:p>
    <w:p w14:paraId="0CBB12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1、服务期：本期合同从</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rPr>
        <w:t>年</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rPr>
        <w:t>月</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rPr>
        <w:t>日起至</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rPr>
        <w:t>年</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rPr>
        <w:t>月</w:t>
      </w:r>
      <w:r>
        <w:rPr>
          <w:rFonts w:hint="eastAsia"/>
          <w:sz w:val="24"/>
          <w:szCs w:val="32"/>
          <w:u w:val="single"/>
        </w:rPr>
        <w:t xml:space="preserve"> </w:t>
      </w:r>
      <w:r>
        <w:rPr>
          <w:rFonts w:hint="eastAsia"/>
          <w:sz w:val="24"/>
          <w:szCs w:val="32"/>
          <w:u w:val="single"/>
          <w:lang w:val="en-US" w:eastAsia="zh-CN"/>
        </w:rPr>
        <w:t xml:space="preserve">  </w:t>
      </w:r>
      <w:r>
        <w:rPr>
          <w:rFonts w:hint="eastAsia"/>
          <w:sz w:val="24"/>
          <w:szCs w:val="32"/>
          <w:u w:val="single"/>
        </w:rPr>
        <w:t xml:space="preserve"> </w:t>
      </w:r>
      <w:r>
        <w:rPr>
          <w:rFonts w:hint="eastAsia"/>
          <w:sz w:val="24"/>
          <w:szCs w:val="32"/>
        </w:rPr>
        <w:t>日止。根据乙方全年工作表现情况决定是否签订第二年合同。</w:t>
      </w:r>
    </w:p>
    <w:p w14:paraId="0B29CD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2、合同执行期间，如遇甲方政策调整，不再负责管理餐厅，本合同自动终止。</w:t>
      </w:r>
    </w:p>
    <w:p w14:paraId="29D9568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第六条 保密</w:t>
      </w:r>
    </w:p>
    <w:p w14:paraId="6244E8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对工作中了解到的甲方的技术、机密等进行严格保密，不得向他人泄漏。本合同的解除或终止不免除乙方应承担的保密义务。</w:t>
      </w:r>
    </w:p>
    <w:p w14:paraId="3110CBA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第七条 工作要求和质量保证</w:t>
      </w:r>
    </w:p>
    <w:p w14:paraId="072A7F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各项具体工作的质量标准和作业规范，按国家相关标准、规范执行。</w:t>
      </w:r>
    </w:p>
    <w:p w14:paraId="0AE0C45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第八条 合同争议的解决</w:t>
      </w:r>
    </w:p>
    <w:p w14:paraId="231D01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因本合同引起或与本合同有关的任何争议，甲、乙双方友好协商解决。协商不成的，可向西安仲裁委员会提请仲裁。</w:t>
      </w:r>
    </w:p>
    <w:p w14:paraId="3EEFC74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第九条 免责条款</w:t>
      </w:r>
    </w:p>
    <w:p w14:paraId="032104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1、如因国家政策、市政建设、自然灾害以及其它不可抗力因素造成本合同确需提前终止的，双方互不视为违约。双方可协商变更或解除合同，甲、乙双方均不负责任。</w:t>
      </w:r>
    </w:p>
    <w:p w14:paraId="7DD209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2、双方约定不可抗力因素情况指：双方不可预见、不可避免、不可克服的客观情况，但不包括双方的违约或疏忽。这些事件包括但不限于：战争、严重火灾、洪水、台风、地震等。</w:t>
      </w:r>
    </w:p>
    <w:p w14:paraId="287559E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第十条 违约责任</w:t>
      </w:r>
    </w:p>
    <w:p w14:paraId="04FC04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1、按《民法典》中的相关条款执行。</w:t>
      </w:r>
    </w:p>
    <w:p w14:paraId="0AC1E7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2、合同期内，如乙方出现违约情形，经甲方通知拒不弥补改正的，甲方可解除本合同，并要求乙方支付已支付服务费用 30% 的违约责任。同时，任何一方单方无故解除合同的，应承担违约责任，违约方应按合同总款的 10% 向对方支付违约金。</w:t>
      </w:r>
    </w:p>
    <w:p w14:paraId="55016FB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32"/>
        </w:rPr>
      </w:pPr>
      <w:r>
        <w:rPr>
          <w:rFonts w:hint="eastAsia"/>
          <w:b/>
          <w:bCs/>
          <w:sz w:val="24"/>
          <w:szCs w:val="32"/>
        </w:rPr>
        <w:t>第十一条 其他</w:t>
      </w:r>
    </w:p>
    <w:p w14:paraId="7E98CE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本合同一式肆份，具有同等法律效力，双方各执贰份。各方签章后生效，合同执行完毕自动失效（合同的服务承诺则长期有效）。</w:t>
      </w:r>
    </w:p>
    <w:tbl>
      <w:tblPr>
        <w:tblStyle w:val="3"/>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0"/>
        <w:gridCol w:w="4280"/>
      </w:tblGrid>
      <w:tr w14:paraId="314A2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280" w:type="dxa"/>
          </w:tcPr>
          <w:p w14:paraId="6B81A3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甲方：</w:t>
            </w:r>
          </w:p>
        </w:tc>
        <w:tc>
          <w:tcPr>
            <w:tcW w:w="4280" w:type="dxa"/>
          </w:tcPr>
          <w:p w14:paraId="23CFEB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乙方：</w:t>
            </w:r>
          </w:p>
        </w:tc>
      </w:tr>
      <w:tr w14:paraId="16FC1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280" w:type="dxa"/>
          </w:tcPr>
          <w:p w14:paraId="13076C3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Theme="minorEastAsia"/>
                <w:sz w:val="24"/>
                <w:szCs w:val="32"/>
                <w:vertAlign w:val="baseline"/>
                <w:lang w:eastAsia="zh-CN"/>
              </w:rPr>
            </w:pPr>
            <w:r>
              <w:rPr>
                <w:rFonts w:hint="eastAsia"/>
                <w:sz w:val="24"/>
                <w:szCs w:val="32"/>
                <w:vertAlign w:val="baseline"/>
                <w:lang w:eastAsia="zh-CN"/>
              </w:rPr>
              <w:t>（</w:t>
            </w:r>
            <w:r>
              <w:rPr>
                <w:rFonts w:hint="eastAsia"/>
                <w:sz w:val="24"/>
                <w:szCs w:val="32"/>
                <w:vertAlign w:val="baseline"/>
                <w:lang w:val="en-US" w:eastAsia="zh-CN"/>
              </w:rPr>
              <w:t>盖章</w:t>
            </w:r>
            <w:r>
              <w:rPr>
                <w:rFonts w:hint="eastAsia"/>
                <w:sz w:val="24"/>
                <w:szCs w:val="32"/>
                <w:vertAlign w:val="baseline"/>
                <w:lang w:eastAsia="zh-CN"/>
              </w:rPr>
              <w:t>）</w:t>
            </w:r>
          </w:p>
        </w:tc>
        <w:tc>
          <w:tcPr>
            <w:tcW w:w="4280" w:type="dxa"/>
            <w:vAlign w:val="center"/>
          </w:tcPr>
          <w:p w14:paraId="5205D3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32"/>
                <w:vertAlign w:val="baseline"/>
              </w:rPr>
            </w:pPr>
            <w:r>
              <w:rPr>
                <w:rFonts w:hint="eastAsia"/>
                <w:sz w:val="24"/>
                <w:szCs w:val="32"/>
                <w:vertAlign w:val="baseline"/>
                <w:lang w:eastAsia="zh-CN"/>
              </w:rPr>
              <w:t>（</w:t>
            </w:r>
            <w:r>
              <w:rPr>
                <w:rFonts w:hint="eastAsia"/>
                <w:sz w:val="24"/>
                <w:szCs w:val="32"/>
                <w:vertAlign w:val="baseline"/>
                <w:lang w:val="en-US" w:eastAsia="zh-CN"/>
              </w:rPr>
              <w:t>盖章</w:t>
            </w:r>
            <w:r>
              <w:rPr>
                <w:rFonts w:hint="eastAsia"/>
                <w:sz w:val="24"/>
                <w:szCs w:val="32"/>
                <w:vertAlign w:val="baseline"/>
                <w:lang w:eastAsia="zh-CN"/>
              </w:rPr>
              <w:t>）</w:t>
            </w:r>
          </w:p>
        </w:tc>
      </w:tr>
      <w:tr w14:paraId="5F67A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280" w:type="dxa"/>
          </w:tcPr>
          <w:p w14:paraId="320414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地址：</w:t>
            </w:r>
          </w:p>
        </w:tc>
        <w:tc>
          <w:tcPr>
            <w:tcW w:w="4280" w:type="dxa"/>
            <w:vAlign w:val="top"/>
          </w:tcPr>
          <w:p w14:paraId="6584B7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vertAlign w:val="baseline"/>
              </w:rPr>
            </w:pPr>
            <w:r>
              <w:rPr>
                <w:rFonts w:hint="eastAsia"/>
                <w:sz w:val="24"/>
                <w:szCs w:val="32"/>
                <w:vertAlign w:val="baseline"/>
                <w:lang w:val="en-US" w:eastAsia="zh-CN"/>
              </w:rPr>
              <w:t>地址：</w:t>
            </w:r>
          </w:p>
        </w:tc>
      </w:tr>
      <w:tr w14:paraId="58C70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280" w:type="dxa"/>
          </w:tcPr>
          <w:p w14:paraId="77579E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邮编：</w:t>
            </w:r>
          </w:p>
        </w:tc>
        <w:tc>
          <w:tcPr>
            <w:tcW w:w="4280" w:type="dxa"/>
            <w:vAlign w:val="top"/>
          </w:tcPr>
          <w:p w14:paraId="0E3D59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vertAlign w:val="baseline"/>
              </w:rPr>
            </w:pPr>
            <w:r>
              <w:rPr>
                <w:rFonts w:hint="eastAsia"/>
                <w:sz w:val="24"/>
                <w:szCs w:val="32"/>
                <w:vertAlign w:val="baseline"/>
                <w:lang w:val="en-US" w:eastAsia="zh-CN"/>
              </w:rPr>
              <w:t>邮编：</w:t>
            </w:r>
          </w:p>
        </w:tc>
      </w:tr>
      <w:tr w14:paraId="54E9E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280" w:type="dxa"/>
          </w:tcPr>
          <w:p w14:paraId="4DA146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法定代表人：</w:t>
            </w:r>
          </w:p>
        </w:tc>
        <w:tc>
          <w:tcPr>
            <w:tcW w:w="4280" w:type="dxa"/>
            <w:vAlign w:val="top"/>
          </w:tcPr>
          <w:p w14:paraId="6D423E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vertAlign w:val="baseline"/>
              </w:rPr>
            </w:pPr>
            <w:r>
              <w:rPr>
                <w:rFonts w:hint="eastAsia"/>
                <w:sz w:val="24"/>
                <w:szCs w:val="32"/>
                <w:vertAlign w:val="baseline"/>
                <w:lang w:val="en-US" w:eastAsia="zh-CN"/>
              </w:rPr>
              <w:t>法定代表人：</w:t>
            </w:r>
          </w:p>
        </w:tc>
      </w:tr>
      <w:tr w14:paraId="4319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280" w:type="dxa"/>
          </w:tcPr>
          <w:p w14:paraId="7A783E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被授权代表：</w:t>
            </w:r>
          </w:p>
        </w:tc>
        <w:tc>
          <w:tcPr>
            <w:tcW w:w="4280" w:type="dxa"/>
            <w:vAlign w:val="top"/>
          </w:tcPr>
          <w:p w14:paraId="052428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vertAlign w:val="baseline"/>
              </w:rPr>
            </w:pPr>
            <w:r>
              <w:rPr>
                <w:rFonts w:hint="eastAsia"/>
                <w:sz w:val="24"/>
                <w:szCs w:val="32"/>
                <w:vertAlign w:val="baseline"/>
                <w:lang w:val="en-US" w:eastAsia="zh-CN"/>
              </w:rPr>
              <w:t>被授权代表：</w:t>
            </w:r>
          </w:p>
        </w:tc>
      </w:tr>
      <w:tr w14:paraId="6309E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280" w:type="dxa"/>
          </w:tcPr>
          <w:p w14:paraId="3E4005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电话：</w:t>
            </w:r>
          </w:p>
        </w:tc>
        <w:tc>
          <w:tcPr>
            <w:tcW w:w="4280" w:type="dxa"/>
            <w:vAlign w:val="top"/>
          </w:tcPr>
          <w:p w14:paraId="3E9462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vertAlign w:val="baseline"/>
              </w:rPr>
            </w:pPr>
            <w:r>
              <w:rPr>
                <w:rFonts w:hint="eastAsia"/>
                <w:sz w:val="24"/>
                <w:szCs w:val="32"/>
                <w:vertAlign w:val="baseline"/>
                <w:lang w:val="en-US" w:eastAsia="zh-CN"/>
              </w:rPr>
              <w:t>电话：</w:t>
            </w:r>
          </w:p>
        </w:tc>
      </w:tr>
      <w:tr w14:paraId="49601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280" w:type="dxa"/>
          </w:tcPr>
          <w:p w14:paraId="1F202B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传真：</w:t>
            </w:r>
          </w:p>
        </w:tc>
        <w:tc>
          <w:tcPr>
            <w:tcW w:w="4280" w:type="dxa"/>
            <w:vAlign w:val="top"/>
          </w:tcPr>
          <w:p w14:paraId="0EB8C3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vertAlign w:val="baseline"/>
              </w:rPr>
            </w:pPr>
            <w:r>
              <w:rPr>
                <w:rFonts w:hint="eastAsia"/>
                <w:sz w:val="24"/>
                <w:szCs w:val="32"/>
                <w:vertAlign w:val="baseline"/>
                <w:lang w:val="en-US" w:eastAsia="zh-CN"/>
              </w:rPr>
              <w:t>传真：</w:t>
            </w:r>
          </w:p>
        </w:tc>
      </w:tr>
      <w:tr w14:paraId="2E124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280" w:type="dxa"/>
          </w:tcPr>
          <w:p w14:paraId="209BC0D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Theme="minorEastAsia"/>
                <w:sz w:val="24"/>
                <w:szCs w:val="32"/>
                <w:vertAlign w:val="baseline"/>
                <w:lang w:val="en-US" w:eastAsia="zh-CN"/>
              </w:rPr>
            </w:pPr>
            <w:r>
              <w:rPr>
                <w:rFonts w:hint="eastAsia"/>
                <w:sz w:val="24"/>
                <w:szCs w:val="32"/>
                <w:vertAlign w:val="baseline"/>
                <w:lang w:val="en-US" w:eastAsia="zh-CN"/>
              </w:rPr>
              <w:t>开户银行：</w:t>
            </w:r>
          </w:p>
        </w:tc>
        <w:tc>
          <w:tcPr>
            <w:tcW w:w="4280" w:type="dxa"/>
            <w:vAlign w:val="top"/>
          </w:tcPr>
          <w:p w14:paraId="61F4EF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vertAlign w:val="baseline"/>
              </w:rPr>
            </w:pPr>
            <w:r>
              <w:rPr>
                <w:rFonts w:hint="eastAsia"/>
                <w:sz w:val="24"/>
                <w:szCs w:val="32"/>
                <w:vertAlign w:val="baseline"/>
                <w:lang w:val="en-US" w:eastAsia="zh-CN"/>
              </w:rPr>
              <w:t>开户银行：</w:t>
            </w:r>
          </w:p>
        </w:tc>
      </w:tr>
      <w:tr w14:paraId="4C21A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280" w:type="dxa"/>
          </w:tcPr>
          <w:p w14:paraId="633543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32"/>
                <w:vertAlign w:val="baseline"/>
                <w:lang w:val="en-US" w:eastAsia="zh-CN"/>
              </w:rPr>
            </w:pPr>
            <w:r>
              <w:rPr>
                <w:rFonts w:hint="eastAsia"/>
                <w:sz w:val="24"/>
                <w:szCs w:val="32"/>
                <w:vertAlign w:val="baseline"/>
                <w:lang w:val="en-US" w:eastAsia="zh-CN"/>
              </w:rPr>
              <w:t>日期：</w:t>
            </w:r>
          </w:p>
        </w:tc>
        <w:tc>
          <w:tcPr>
            <w:tcW w:w="4280" w:type="dxa"/>
            <w:vAlign w:val="top"/>
          </w:tcPr>
          <w:p w14:paraId="2A26FF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vertAlign w:val="baseline"/>
              </w:rPr>
            </w:pPr>
            <w:r>
              <w:rPr>
                <w:rFonts w:hint="eastAsia"/>
                <w:sz w:val="24"/>
                <w:szCs w:val="32"/>
                <w:vertAlign w:val="baseline"/>
                <w:lang w:val="en-US" w:eastAsia="zh-CN"/>
              </w:rPr>
              <w:t>日期：</w:t>
            </w:r>
          </w:p>
        </w:tc>
      </w:tr>
    </w:tbl>
    <w:p w14:paraId="51BD9AC7">
      <w:bookmarkStart w:id="0" w:name="_GoBack"/>
      <w:bookmarkEnd w:id="0"/>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E50397"/>
    <w:rsid w:val="7AE50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2026-01-20T06:59:00Z</dcterms:created>
  <dc:creator>余悸</dc:creator>
  <cp:lastModifiedBy>余悸</cp:lastModifiedBy>
  <dcterms:modified xsi:type="dcterms:W3CDTF">2026-01-20T07:00:47Z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5C873E61A6BF494D9D3902BD611F5DF4_11</vt:lpwstr>
  </property>
  <property fmtid="{D5CDD505-2E9C-101B-9397-08002B2CF9AE}" pid="4" name="KSOTemplateDocerSaveRecord">
    <vt:lpwstr>eyJoZGlkIjoiNDE3YTdmMGE4MzhmODJiNTgzYWRiZmQxNmJiNGMyZDciLCJ1c2VySWQiOiI0MDc5MjkxMjEifQ==</vt:lpwstr>
  </property>
</Properties>
</file>