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版本号：ZHZB-2025（FW）00920260120001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雁塔区政务服务中心餐厅餐饮服务项目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ZHZB-2025（FW）009</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雁塔区政务服务中心餐厅餐饮服务项目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ZHZB-2025（FW）009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雁塔区政务服务中心餐厅餐饮服务项目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为雁塔区政务服务中心职工餐厅提供餐饮服务，保障职工餐厅的一日三餐。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采购包1（雁塔区政务服务中心职工餐厅餐饮服务外包项目）：属于专门面向中小企业采购。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1、独立承担民事责任的能力：合法注册的法人应提供营业执照（或事业法人证）、组织机构代码证、税务登记证或统一社会信用代码的营业执照或其他组织应提供合法证明文件或自然人提供身份证件；</w:t>
      </w:r>
    </w:p>
    <w:p>
      <w:pPr>
        <w:pStyle w:val="null3"/>
      </w:pPr>
      <w:r>
        <w:rPr>
          <w:rFonts w:ascii="仿宋_GB2312" w:hAnsi="仿宋_GB2312" w:cs="仿宋_GB2312" w:eastAsia="仿宋_GB2312"/>
        </w:rPr>
        <w:t>2、良好的商业信誉和健全的财务会计制度：2024年度或2025年度经审计的财务报告或在2025年6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3、有依法缴纳税收和社会保障资金的良好记录：提供时间在2025年6月1日至今任意一个月的缴纳证明；</w:t>
      </w:r>
    </w:p>
    <w:p>
      <w:pPr>
        <w:pStyle w:val="null3"/>
      </w:pPr>
      <w:r>
        <w:rPr>
          <w:rFonts w:ascii="仿宋_GB2312" w:hAnsi="仿宋_GB2312" w:cs="仿宋_GB2312" w:eastAsia="仿宋_GB2312"/>
        </w:rPr>
        <w:t>4、书面声明：①参加政府采购活动前三年内，在经营活动中没有重大违法记录的书面声明；②具有履行本合同所必需的设备和专业技术能力的声明；</w:t>
      </w:r>
    </w:p>
    <w:p>
      <w:pPr>
        <w:pStyle w:val="null3"/>
      </w:pPr>
      <w:r>
        <w:rPr>
          <w:rFonts w:ascii="仿宋_GB2312" w:hAnsi="仿宋_GB2312" w:cs="仿宋_GB2312" w:eastAsia="仿宋_GB2312"/>
        </w:rPr>
        <w:t>5、法律、行政法规规定的其他条件：法定代表人直接参加投标的，须提供法定代表人身份证明；法定代表人授权代表参加投标的，须提供法定代表人授权委托书；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6、供应商企业关系关联及联合体说明：本项目不接受联合体磋商，单位负责人为同一人或者存在直接控股、管理关系的不同供应商，不得参加同一合同项下的政府采购活动。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7、备注：（1）以上为供应商的必备资格要求，资格证明文件无效或缺项的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供应商公章；（4）依法免税或不需要缴纳社会保障资金的供应商须提供相应证明文件；事业单位法人可不提供财务状况报告、缴纳税收证明及社会保障资金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029-81160013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 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成交价为准按照服务收费标准计算向陕西致恒招标代理有限公司交纳招标服务费。 2、招标服务费应采用现金或转账形式缴纳。 招标代理服务费汇款账户： 开户行名称：陕西致恒招标代理有限公司 开 户 行：中国民生银行股份有限公司西安高新开发区支行 帐 号：159322825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各项具体工作的质量标准和作业规范，按国家相关标准、规范执行。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联系人：屈工</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为雁塔区政务服务中心职工餐厅提供餐饮服务，保障职工餐厅的一日三餐。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雁塔区政务服务中心职工餐厅餐饮服务外包项目，是为雁塔区政务服务中心职工餐厅提供餐饮服务，保障职工餐厅的一日三餐。</w:t>
            </w:r>
          </w:p>
          <w:p>
            <w:pPr>
              <w:pStyle w:val="null3"/>
            </w:pPr>
            <w:r>
              <w:rPr>
                <w:rFonts w:ascii="仿宋_GB2312" w:hAnsi="仿宋_GB2312" w:cs="仿宋_GB2312" w:eastAsia="仿宋_GB2312"/>
                <w:sz w:val="28"/>
                <w:b/>
              </w:rPr>
              <w:t>二、服务内容</w:t>
            </w:r>
          </w:p>
          <w:p>
            <w:pPr>
              <w:pStyle w:val="null3"/>
              <w:ind w:firstLine="480"/>
              <w:jc w:val="both"/>
            </w:pPr>
            <w:r>
              <w:rPr>
                <w:rFonts w:ascii="仿宋_GB2312" w:hAnsi="仿宋_GB2312" w:cs="仿宋_GB2312" w:eastAsia="仿宋_GB2312"/>
                <w:sz w:val="24"/>
              </w:rPr>
              <w:t>成交供应商</w:t>
            </w:r>
            <w:r>
              <w:rPr>
                <w:rFonts w:ascii="仿宋_GB2312" w:hAnsi="仿宋_GB2312" w:cs="仿宋_GB2312" w:eastAsia="仿宋_GB2312"/>
                <w:sz w:val="24"/>
              </w:rPr>
              <w:t>按照采购方要求，全力做好员工一日三餐（早餐、午餐、晚餐）的服务保障工作。</w:t>
            </w:r>
          </w:p>
          <w:p>
            <w:pPr>
              <w:pStyle w:val="null3"/>
              <w:jc w:val="both"/>
            </w:pPr>
            <w:r>
              <w:rPr>
                <w:rFonts w:ascii="仿宋_GB2312" w:hAnsi="仿宋_GB2312" w:cs="仿宋_GB2312" w:eastAsia="仿宋_GB2312"/>
                <w:sz w:val="28"/>
                <w:b/>
              </w:rPr>
              <w:t>三、服务要求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）人员配置和要求</w:t>
            </w:r>
          </w:p>
          <w:p>
            <w:pPr>
              <w:pStyle w:val="null3"/>
              <w:ind w:firstLine="480"/>
              <w:jc w:val="both"/>
            </w:pPr>
            <w:r>
              <w:rPr>
                <w:rFonts w:ascii="仿宋_GB2312" w:hAnsi="仿宋_GB2312" w:cs="仿宋_GB2312" w:eastAsia="仿宋_GB2312"/>
                <w:sz w:val="24"/>
              </w:rPr>
              <w:t>根据单位就餐人数，经核算后，现拟定配置</w:t>
            </w:r>
            <w:r>
              <w:rPr>
                <w:rFonts w:ascii="仿宋_GB2312" w:hAnsi="仿宋_GB2312" w:cs="仿宋_GB2312" w:eastAsia="仿宋_GB2312"/>
                <w:sz w:val="24"/>
              </w:rPr>
              <w:t>16</w:t>
            </w:r>
            <w:r>
              <w:rPr>
                <w:rFonts w:ascii="仿宋_GB2312" w:hAnsi="仿宋_GB2312" w:cs="仿宋_GB2312" w:eastAsia="仿宋_GB2312"/>
                <w:sz w:val="24"/>
              </w:rPr>
              <w:t>人。</w:t>
            </w:r>
          </w:p>
          <w:tbl>
            <w:tblPr>
              <w:tblBorders>
                <w:top w:val="none" w:color="000000" w:sz="4"/>
                <w:left w:val="none" w:color="000000" w:sz="4"/>
                <w:bottom w:val="none" w:color="000000" w:sz="4"/>
                <w:right w:val="none" w:color="000000" w:sz="4"/>
                <w:insideH w:val="none"/>
                <w:insideV w:val="none"/>
              </w:tblBorders>
            </w:tblPr>
            <w:tblGrid>
              <w:gridCol w:w="453"/>
              <w:gridCol w:w="1132"/>
              <w:gridCol w:w="961"/>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序号</w:t>
                  </w:r>
                </w:p>
              </w:tc>
              <w:tc>
                <w:tcPr>
                  <w:tcW w:type="dxa" w:w="1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名称</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职位及数量</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管理人员</w:t>
                  </w:r>
                  <w:r>
                    <w:rPr>
                      <w:rFonts w:ascii="仿宋_GB2312" w:hAnsi="仿宋_GB2312" w:cs="仿宋_GB2312" w:eastAsia="仿宋_GB2312"/>
                      <w:sz w:val="32"/>
                    </w:rPr>
                    <w:t>2人</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经理</w:t>
                  </w:r>
                  <w:r>
                    <w:rPr>
                      <w:rFonts w:ascii="仿宋_GB2312" w:hAnsi="仿宋_GB2312" w:cs="仿宋_GB2312" w:eastAsia="仿宋_GB2312"/>
                      <w:sz w:val="32"/>
                    </w:rPr>
                    <w:t>1人</w:t>
                  </w:r>
                </w:p>
              </w:tc>
            </w:tr>
            <w:tr>
              <w:tc>
                <w:tcPr>
                  <w:tcW w:type="dxa" w:w="453"/>
                  <w:vMerge/>
                  <w:tcBorders>
                    <w:top w:val="none" w:color="000000" w:sz="4"/>
                    <w:left w:val="single" w:color="000000" w:sz="4"/>
                    <w:bottom w:val="single" w:color="000000" w:sz="4"/>
                    <w:right w:val="single" w:color="000000" w:sz="4"/>
                  </w:tcBorders>
                </w:tcPr>
                <w:p/>
              </w:tc>
              <w:tc>
                <w:tcPr>
                  <w:tcW w:type="dxa" w:w="1132"/>
                  <w:vMerge/>
                  <w:tcBorders>
                    <w:top w:val="none" w:color="000000" w:sz="4"/>
                    <w:left w:val="single" w:color="000000" w:sz="4"/>
                    <w:bottom w:val="single" w:color="000000" w:sz="4"/>
                    <w:right w:val="single" w:color="000000" w:sz="4"/>
                  </w:tcBorders>
                </w:tc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厨师长</w:t>
                  </w:r>
                  <w:r>
                    <w:rPr>
                      <w:rFonts w:ascii="仿宋_GB2312" w:hAnsi="仿宋_GB2312" w:cs="仿宋_GB2312" w:eastAsia="仿宋_GB2312"/>
                      <w:sz w:val="32"/>
                    </w:rPr>
                    <w:t>1人</w:t>
                  </w:r>
                </w:p>
              </w:tc>
            </w:tr>
            <w:tr>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厨师</w:t>
                  </w:r>
                  <w:r>
                    <w:rPr>
                      <w:rFonts w:ascii="仿宋_GB2312" w:hAnsi="仿宋_GB2312" w:cs="仿宋_GB2312" w:eastAsia="仿宋_GB2312"/>
                      <w:sz w:val="32"/>
                    </w:rPr>
                    <w:t>11</w:t>
                  </w:r>
                  <w:r>
                    <w:rPr>
                      <w:rFonts w:ascii="仿宋_GB2312" w:hAnsi="仿宋_GB2312" w:cs="仿宋_GB2312" w:eastAsia="仿宋_GB2312"/>
                      <w:sz w:val="32"/>
                    </w:rPr>
                    <w:t>人</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炒菜</w:t>
                  </w:r>
                  <w:r>
                    <w:rPr>
                      <w:rFonts w:ascii="仿宋_GB2312" w:hAnsi="仿宋_GB2312" w:cs="仿宋_GB2312" w:eastAsia="仿宋_GB2312"/>
                      <w:sz w:val="32"/>
                    </w:rPr>
                    <w:t>4</w:t>
                  </w:r>
                  <w:r>
                    <w:rPr>
                      <w:rFonts w:ascii="仿宋_GB2312" w:hAnsi="仿宋_GB2312" w:cs="仿宋_GB2312" w:eastAsia="仿宋_GB2312"/>
                      <w:sz w:val="32"/>
                    </w:rPr>
                    <w:t>人</w:t>
                  </w:r>
                </w:p>
              </w:tc>
            </w:tr>
            <w:tr>
              <w:tc>
                <w:tcPr>
                  <w:tcW w:type="dxa" w:w="453"/>
                  <w:vMerge/>
                  <w:tcBorders>
                    <w:top w:val="none" w:color="000000" w:sz="4"/>
                    <w:left w:val="single" w:color="000000" w:sz="4"/>
                    <w:bottom w:val="single" w:color="000000" w:sz="4"/>
                    <w:right w:val="single" w:color="000000" w:sz="4"/>
                  </w:tcBorders>
                </w:tcPr>
                <w:p/>
              </w:tc>
              <w:tc>
                <w:tcPr>
                  <w:tcW w:type="dxa" w:w="1132"/>
                  <w:vMerge/>
                  <w:tcBorders>
                    <w:top w:val="none" w:color="000000" w:sz="4"/>
                    <w:left w:val="single" w:color="000000" w:sz="4"/>
                    <w:bottom w:val="single" w:color="000000" w:sz="4"/>
                    <w:right w:val="single" w:color="000000" w:sz="4"/>
                  </w:tcBorders>
                </w:tc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面点</w:t>
                  </w:r>
                  <w:r>
                    <w:rPr>
                      <w:rFonts w:ascii="仿宋_GB2312" w:hAnsi="仿宋_GB2312" w:cs="仿宋_GB2312" w:eastAsia="仿宋_GB2312"/>
                      <w:sz w:val="32"/>
                    </w:rPr>
                    <w:t>3</w:t>
                  </w:r>
                  <w:r>
                    <w:rPr>
                      <w:rFonts w:ascii="仿宋_GB2312" w:hAnsi="仿宋_GB2312" w:cs="仿宋_GB2312" w:eastAsia="仿宋_GB2312"/>
                      <w:sz w:val="32"/>
                    </w:rPr>
                    <w:t>人</w:t>
                  </w:r>
                </w:p>
              </w:tc>
            </w:tr>
            <w:tr>
              <w:tc>
                <w:tcPr>
                  <w:tcW w:type="dxa" w:w="453"/>
                  <w:vMerge/>
                  <w:tcBorders>
                    <w:top w:val="none" w:color="000000" w:sz="4"/>
                    <w:left w:val="single" w:color="000000" w:sz="4"/>
                    <w:bottom w:val="single" w:color="000000" w:sz="4"/>
                    <w:right w:val="single" w:color="000000" w:sz="4"/>
                  </w:tcBorders>
                </w:tcPr>
                <w:p/>
              </w:tc>
              <w:tc>
                <w:tcPr>
                  <w:tcW w:type="dxa" w:w="1132"/>
                  <w:vMerge/>
                  <w:tcBorders>
                    <w:top w:val="none" w:color="000000" w:sz="4"/>
                    <w:left w:val="single" w:color="000000" w:sz="4"/>
                    <w:bottom w:val="single" w:color="000000" w:sz="4"/>
                    <w:right w:val="single" w:color="000000" w:sz="4"/>
                  </w:tcBorders>
                </w:tc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小吃</w:t>
                  </w:r>
                  <w:r>
                    <w:rPr>
                      <w:rFonts w:ascii="仿宋_GB2312" w:hAnsi="仿宋_GB2312" w:cs="仿宋_GB2312" w:eastAsia="仿宋_GB2312"/>
                      <w:sz w:val="32"/>
                    </w:rPr>
                    <w:t>1人</w:t>
                  </w:r>
                </w:p>
              </w:tc>
            </w:tr>
            <w:tr>
              <w:tc>
                <w:tcPr>
                  <w:tcW w:type="dxa" w:w="453"/>
                  <w:vMerge/>
                  <w:tcBorders>
                    <w:top w:val="none" w:color="000000" w:sz="4"/>
                    <w:left w:val="single" w:color="000000" w:sz="4"/>
                    <w:bottom w:val="single" w:color="000000" w:sz="4"/>
                    <w:right w:val="single" w:color="000000" w:sz="4"/>
                  </w:tcBorders>
                </w:tcPr>
                <w:p/>
              </w:tc>
              <w:tc>
                <w:tcPr>
                  <w:tcW w:type="dxa" w:w="1132"/>
                  <w:vMerge/>
                  <w:tcBorders>
                    <w:top w:val="none" w:color="000000" w:sz="4"/>
                    <w:left w:val="single" w:color="000000" w:sz="4"/>
                    <w:bottom w:val="single" w:color="000000" w:sz="4"/>
                    <w:right w:val="single" w:color="000000" w:sz="4"/>
                  </w:tcBorders>
                </w:tc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切配工</w:t>
                  </w:r>
                  <w:r>
                    <w:rPr>
                      <w:rFonts w:ascii="仿宋_GB2312" w:hAnsi="仿宋_GB2312" w:cs="仿宋_GB2312" w:eastAsia="仿宋_GB2312"/>
                      <w:sz w:val="32"/>
                    </w:rPr>
                    <w:t>3</w:t>
                  </w:r>
                  <w:r>
                    <w:rPr>
                      <w:rFonts w:ascii="仿宋_GB2312" w:hAnsi="仿宋_GB2312" w:cs="仿宋_GB2312" w:eastAsia="仿宋_GB2312"/>
                      <w:sz w:val="32"/>
                    </w:rPr>
                    <w:t>人</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洗消服</w:t>
                  </w:r>
                  <w:r>
                    <w:rPr>
                      <w:rFonts w:ascii="仿宋_GB2312" w:hAnsi="仿宋_GB2312" w:cs="仿宋_GB2312" w:eastAsia="仿宋_GB2312"/>
                      <w:sz w:val="32"/>
                    </w:rPr>
                    <w:t>务</w:t>
                  </w:r>
                  <w:r>
                    <w:rPr>
                      <w:rFonts w:ascii="仿宋_GB2312" w:hAnsi="仿宋_GB2312" w:cs="仿宋_GB2312" w:eastAsia="仿宋_GB2312"/>
                      <w:sz w:val="32"/>
                    </w:rPr>
                    <w:t>3</w:t>
                  </w:r>
                  <w:r>
                    <w:rPr>
                      <w:rFonts w:ascii="仿宋_GB2312" w:hAnsi="仿宋_GB2312" w:cs="仿宋_GB2312" w:eastAsia="仿宋_GB2312"/>
                      <w:sz w:val="32"/>
                    </w:rPr>
                    <w:t>人</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杂工</w:t>
                  </w:r>
                  <w:r>
                    <w:rPr>
                      <w:rFonts w:ascii="仿宋_GB2312" w:hAnsi="仿宋_GB2312" w:cs="仿宋_GB2312" w:eastAsia="仿宋_GB2312"/>
                      <w:sz w:val="32"/>
                    </w:rPr>
                    <w:t>3</w:t>
                  </w:r>
                  <w:r>
                    <w:rPr>
                      <w:rFonts w:ascii="仿宋_GB2312" w:hAnsi="仿宋_GB2312" w:cs="仿宋_GB2312" w:eastAsia="仿宋_GB2312"/>
                      <w:sz w:val="32"/>
                    </w:rPr>
                    <w:t>人</w:t>
                  </w:r>
                </w:p>
              </w:tc>
            </w:tr>
          </w:tbl>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经理：</w:t>
            </w:r>
            <w:r>
              <w:rPr>
                <w:rFonts w:ascii="仿宋_GB2312" w:hAnsi="仿宋_GB2312" w:cs="仿宋_GB2312" w:eastAsia="仿宋_GB2312"/>
                <w:sz w:val="24"/>
              </w:rPr>
              <w:t>①50周岁以内；②三年以上工作经验，熟悉成本核算和费用管控；③持有健康证。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厨师长：</w:t>
            </w:r>
            <w:r>
              <w:rPr>
                <w:rFonts w:ascii="仿宋_GB2312" w:hAnsi="仿宋_GB2312" w:cs="仿宋_GB2312" w:eastAsia="仿宋_GB2312"/>
                <w:sz w:val="24"/>
              </w:rPr>
              <w:t>①50周岁以内，具有中餐烹饪厨师证者优先；②三年以上工作经验，熟悉成本核算和费用管控；③对菜品研发，中西餐菜肴的生产技术有丰富经验，具备较好的组织安排、协调管理能力；④持有健康证。</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厨师：</w:t>
            </w:r>
            <w:r>
              <w:rPr>
                <w:rFonts w:ascii="仿宋_GB2312" w:hAnsi="仿宋_GB2312" w:cs="仿宋_GB2312" w:eastAsia="仿宋_GB2312"/>
                <w:sz w:val="24"/>
              </w:rPr>
              <w:t>①18-45岁；②有熟练的服务技能技巧和一定的应变能力，能妥善处理服务中出现的问题；③掌握服务规程，了解各种菜肴的基本特点和简单的烹饪方法；④工作主动、热情、责任心强，身体健康，仪表端庄；⑤持有健康证。</w:t>
            </w:r>
          </w:p>
          <w:p>
            <w:pPr>
              <w:pStyle w:val="null3"/>
              <w:ind w:firstLine="480"/>
              <w:jc w:val="both"/>
            </w:pPr>
            <w:r>
              <w:rPr>
                <w:rFonts w:ascii="仿宋_GB2312" w:hAnsi="仿宋_GB2312" w:cs="仿宋_GB2312" w:eastAsia="仿宋_GB2312"/>
                <w:sz w:val="24"/>
              </w:rPr>
              <w:t>4、洗消服务：</w:t>
            </w:r>
            <w:r>
              <w:rPr>
                <w:rFonts w:ascii="仿宋_GB2312" w:hAnsi="仿宋_GB2312" w:cs="仿宋_GB2312" w:eastAsia="仿宋_GB2312"/>
                <w:sz w:val="24"/>
              </w:rPr>
              <w:t>①18-45岁；</w:t>
            </w:r>
            <w:r>
              <w:rPr>
                <w:rFonts w:ascii="仿宋_GB2312" w:hAnsi="仿宋_GB2312" w:cs="仿宋_GB2312" w:eastAsia="仿宋_GB2312"/>
                <w:sz w:val="24"/>
              </w:rPr>
              <w:t>②</w:t>
            </w:r>
            <w:r>
              <w:rPr>
                <w:rFonts w:ascii="仿宋_GB2312" w:hAnsi="仿宋_GB2312" w:cs="仿宋_GB2312" w:eastAsia="仿宋_GB2312"/>
                <w:sz w:val="24"/>
              </w:rPr>
              <w:t>工作主动、热情、责任心强，身体健康，仪表端庄；</w:t>
            </w:r>
            <w:r>
              <w:rPr>
                <w:rFonts w:ascii="仿宋_GB2312" w:hAnsi="仿宋_GB2312" w:cs="仿宋_GB2312" w:eastAsia="仿宋_GB2312"/>
                <w:sz w:val="24"/>
              </w:rPr>
              <w:t>③</w:t>
            </w:r>
            <w:r>
              <w:rPr>
                <w:rFonts w:ascii="仿宋_GB2312" w:hAnsi="仿宋_GB2312" w:cs="仿宋_GB2312" w:eastAsia="仿宋_GB2312"/>
                <w:sz w:val="24"/>
              </w:rPr>
              <w:t>持有健康证。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服务要求</w:t>
            </w:r>
          </w:p>
          <w:p>
            <w:pPr>
              <w:pStyle w:val="null3"/>
              <w:ind w:firstLine="480"/>
              <w:jc w:val="both"/>
            </w:pPr>
            <w:r>
              <w:rPr>
                <w:rFonts w:ascii="仿宋_GB2312" w:hAnsi="仿宋_GB2312" w:cs="仿宋_GB2312" w:eastAsia="仿宋_GB2312"/>
                <w:sz w:val="24"/>
              </w:rPr>
              <w:t>1、现有就餐人员约600人左右，餐厅按设计要求，配置了烹制间、粗加工间、主副食仓库、洗碗间、有冷藏柜、抽排系统、不锈钢厨具餐具等，食堂各项用具齐全；餐桌、餐椅配置到位，水电气正常供应。</w:t>
            </w:r>
          </w:p>
          <w:p>
            <w:pPr>
              <w:pStyle w:val="null3"/>
              <w:ind w:firstLine="480"/>
              <w:jc w:val="both"/>
            </w:pPr>
            <w:r>
              <w:rPr>
                <w:rFonts w:ascii="仿宋_GB2312" w:hAnsi="仿宋_GB2312" w:cs="仿宋_GB2312" w:eastAsia="仿宋_GB2312"/>
                <w:sz w:val="24"/>
              </w:rPr>
              <w:t>2、餐标：早餐、午餐、晚餐。</w:t>
            </w:r>
          </w:p>
          <w:p>
            <w:pPr>
              <w:pStyle w:val="null3"/>
              <w:ind w:firstLine="480"/>
              <w:jc w:val="both"/>
            </w:pPr>
            <w:r>
              <w:rPr>
                <w:rFonts w:ascii="仿宋_GB2312" w:hAnsi="仿宋_GB2312" w:cs="仿宋_GB2312" w:eastAsia="仿宋_GB2312"/>
                <w:sz w:val="24"/>
              </w:rPr>
              <w:t>3、菜品内容：</w:t>
            </w:r>
          </w:p>
          <w:p>
            <w:pPr>
              <w:pStyle w:val="null3"/>
              <w:ind w:firstLine="480"/>
              <w:jc w:val="both"/>
            </w:pPr>
            <w:r>
              <w:rPr>
                <w:rFonts w:ascii="仿宋_GB2312" w:hAnsi="仿宋_GB2312" w:cs="仿宋_GB2312" w:eastAsia="仿宋_GB2312"/>
                <w:sz w:val="24"/>
              </w:rPr>
              <w:t>早餐</w:t>
            </w:r>
            <w:r>
              <w:rPr>
                <w:rFonts w:ascii="仿宋_GB2312" w:hAnsi="仿宋_GB2312" w:cs="仿宋_GB2312" w:eastAsia="仿宋_GB2312"/>
                <w:sz w:val="24"/>
              </w:rPr>
              <w:t>:小菜2种,开胃菜2种,主食2种,蛋类1种,汤粥2种,牛奶1种.</w:t>
            </w:r>
          </w:p>
          <w:p>
            <w:pPr>
              <w:pStyle w:val="null3"/>
              <w:ind w:firstLine="480"/>
              <w:jc w:val="both"/>
            </w:pPr>
            <w:r>
              <w:rPr>
                <w:rFonts w:ascii="仿宋_GB2312" w:hAnsi="仿宋_GB2312" w:cs="仿宋_GB2312" w:eastAsia="仿宋_GB2312"/>
                <w:sz w:val="24"/>
              </w:rPr>
              <w:t>午餐</w:t>
            </w:r>
            <w:r>
              <w:rPr>
                <w:rFonts w:ascii="仿宋_GB2312" w:hAnsi="仿宋_GB2312" w:cs="仿宋_GB2312" w:eastAsia="仿宋_GB2312"/>
                <w:sz w:val="24"/>
              </w:rPr>
              <w:t>:热菜5种（3荤2素），主食2种（面食一种，米饭一种），汤类1种，水果1种。面食类每周五天不能重复（可安排各种面食、饺子、米线、羊血饸络、泡馍、水盆等）。</w:t>
            </w:r>
          </w:p>
          <w:p>
            <w:pPr>
              <w:pStyle w:val="null3"/>
              <w:ind w:firstLine="480"/>
              <w:jc w:val="both"/>
            </w:pPr>
            <w:r>
              <w:rPr>
                <w:rFonts w:ascii="仿宋_GB2312" w:hAnsi="仿宋_GB2312" w:cs="仿宋_GB2312" w:eastAsia="仿宋_GB2312"/>
                <w:sz w:val="24"/>
              </w:rPr>
              <w:t>晚餐：热菜</w:t>
            </w:r>
            <w:r>
              <w:rPr>
                <w:rFonts w:ascii="仿宋_GB2312" w:hAnsi="仿宋_GB2312" w:cs="仿宋_GB2312" w:eastAsia="仿宋_GB2312"/>
                <w:sz w:val="24"/>
              </w:rPr>
              <w:t>2种，小菜2种，主食2种，汤粥2种。</w:t>
            </w:r>
          </w:p>
          <w:p>
            <w:pPr>
              <w:pStyle w:val="null3"/>
              <w:ind w:firstLine="480"/>
              <w:jc w:val="both"/>
            </w:pPr>
            <w:r>
              <w:rPr>
                <w:rFonts w:ascii="仿宋_GB2312" w:hAnsi="仿宋_GB2312" w:cs="仿宋_GB2312" w:eastAsia="仿宋_GB2312"/>
                <w:sz w:val="24"/>
              </w:rPr>
              <w:t>4、就餐时间及形式：</w:t>
            </w:r>
          </w:p>
          <w:p>
            <w:pPr>
              <w:pStyle w:val="null3"/>
              <w:ind w:firstLine="480"/>
              <w:jc w:val="both"/>
            </w:pPr>
            <w:r>
              <w:rPr>
                <w:rFonts w:ascii="仿宋_GB2312" w:hAnsi="仿宋_GB2312" w:cs="仿宋_GB2312" w:eastAsia="仿宋_GB2312"/>
                <w:sz w:val="24"/>
              </w:rPr>
              <w:t>早餐：</w:t>
            </w:r>
            <w:r>
              <w:rPr>
                <w:rFonts w:ascii="仿宋_GB2312" w:hAnsi="仿宋_GB2312" w:cs="仿宋_GB2312" w:eastAsia="仿宋_GB2312"/>
                <w:sz w:val="24"/>
              </w:rPr>
              <w:t>8:00-8:40</w:t>
            </w:r>
          </w:p>
          <w:p>
            <w:pPr>
              <w:pStyle w:val="null3"/>
              <w:ind w:firstLine="480"/>
              <w:jc w:val="both"/>
            </w:pPr>
            <w:r>
              <w:rPr>
                <w:rFonts w:ascii="仿宋_GB2312" w:hAnsi="仿宋_GB2312" w:cs="仿宋_GB2312" w:eastAsia="仿宋_GB2312"/>
                <w:sz w:val="24"/>
              </w:rPr>
              <w:t>午餐：</w:t>
            </w:r>
            <w:r>
              <w:rPr>
                <w:rFonts w:ascii="仿宋_GB2312" w:hAnsi="仿宋_GB2312" w:cs="仿宋_GB2312" w:eastAsia="仿宋_GB2312"/>
                <w:sz w:val="24"/>
              </w:rPr>
              <w:t>12:00-12:40</w:t>
            </w:r>
          </w:p>
          <w:p>
            <w:pPr>
              <w:pStyle w:val="null3"/>
              <w:ind w:firstLine="480"/>
              <w:jc w:val="both"/>
            </w:pPr>
            <w:r>
              <w:rPr>
                <w:rFonts w:ascii="仿宋_GB2312" w:hAnsi="仿宋_GB2312" w:cs="仿宋_GB2312" w:eastAsia="仿宋_GB2312"/>
                <w:sz w:val="24"/>
              </w:rPr>
              <w:t>晚餐：</w:t>
            </w:r>
            <w:r>
              <w:rPr>
                <w:rFonts w:ascii="仿宋_GB2312" w:hAnsi="仿宋_GB2312" w:cs="仿宋_GB2312" w:eastAsia="仿宋_GB2312"/>
                <w:sz w:val="24"/>
              </w:rPr>
              <w:t>18:00-18:40</w:t>
            </w:r>
          </w:p>
          <w:p>
            <w:pPr>
              <w:pStyle w:val="null3"/>
              <w:ind w:firstLine="480"/>
              <w:jc w:val="both"/>
            </w:pPr>
            <w:r>
              <w:rPr>
                <w:rFonts w:ascii="仿宋_GB2312" w:hAnsi="仿宋_GB2312" w:cs="仿宋_GB2312" w:eastAsia="仿宋_GB2312"/>
                <w:sz w:val="24"/>
              </w:rPr>
              <w:t>餐厅为</w:t>
            </w:r>
            <w:r>
              <w:rPr>
                <w:rFonts w:ascii="仿宋_GB2312" w:hAnsi="仿宋_GB2312" w:cs="仿宋_GB2312" w:eastAsia="仿宋_GB2312"/>
                <w:sz w:val="24"/>
              </w:rPr>
              <w:t>档口</w:t>
            </w:r>
            <w:r>
              <w:rPr>
                <w:rFonts w:ascii="仿宋_GB2312" w:hAnsi="仿宋_GB2312" w:cs="仿宋_GB2312" w:eastAsia="仿宋_GB2312"/>
                <w:sz w:val="24"/>
              </w:rPr>
              <w:t>打餐</w:t>
            </w:r>
            <w:r>
              <w:rPr>
                <w:rFonts w:ascii="仿宋_GB2312" w:hAnsi="仿宋_GB2312" w:cs="仿宋_GB2312" w:eastAsia="仿宋_GB2312"/>
                <w:sz w:val="24"/>
              </w:rPr>
              <w:t>形式，</w:t>
            </w:r>
            <w:r>
              <w:rPr>
                <w:rFonts w:ascii="仿宋_GB2312" w:hAnsi="仿宋_GB2312" w:cs="仿宋_GB2312" w:eastAsia="仿宋_GB2312"/>
                <w:sz w:val="24"/>
              </w:rPr>
              <w:t>职工</w:t>
            </w:r>
            <w:r>
              <w:rPr>
                <w:rFonts w:ascii="仿宋_GB2312" w:hAnsi="仿宋_GB2312" w:cs="仿宋_GB2312" w:eastAsia="仿宋_GB2312"/>
                <w:sz w:val="24"/>
              </w:rPr>
              <w:t>刷卡就餐，</w:t>
            </w:r>
            <w:r>
              <w:rPr>
                <w:rFonts w:ascii="仿宋_GB2312" w:hAnsi="仿宋_GB2312" w:cs="仿宋_GB2312" w:eastAsia="仿宋_GB2312"/>
                <w:sz w:val="24"/>
              </w:rPr>
              <w:t>每次就餐只刷一次卡，只能选择米饭类或面食类一种，</w:t>
            </w:r>
            <w:r>
              <w:rPr>
                <w:rFonts w:ascii="仿宋_GB2312" w:hAnsi="仿宋_GB2312" w:cs="仿宋_GB2312" w:eastAsia="仿宋_GB2312"/>
                <w:sz w:val="24"/>
              </w:rPr>
              <w:t>在规定的开饭时间内供应不脱销、不断档。</w:t>
            </w:r>
          </w:p>
          <w:p>
            <w:pPr>
              <w:pStyle w:val="null3"/>
              <w:ind w:firstLine="560"/>
            </w:pPr>
            <w:r>
              <w:rPr>
                <w:rFonts w:ascii="仿宋_GB2312" w:hAnsi="仿宋_GB2312" w:cs="仿宋_GB2312" w:eastAsia="仿宋_GB2312"/>
                <w:sz w:val="28"/>
              </w:rPr>
              <w:t>（三）其他要求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工作人员必须身体健康，仪容端正，品德良好，无违法犯罪记录，</w:t>
            </w:r>
            <w:r>
              <w:rPr>
                <w:rFonts w:ascii="仿宋_GB2312" w:hAnsi="仿宋_GB2312" w:cs="仿宋_GB2312" w:eastAsia="仿宋_GB2312"/>
                <w:sz w:val="24"/>
              </w:rPr>
              <w:t>成交供应商</w:t>
            </w:r>
            <w:r>
              <w:rPr>
                <w:rFonts w:ascii="仿宋_GB2312" w:hAnsi="仿宋_GB2312" w:cs="仿宋_GB2312" w:eastAsia="仿宋_GB2312"/>
                <w:sz w:val="24"/>
              </w:rPr>
              <w:t>保证所有上岗工作人员健康证齐全、有效，并报采购方备案后方可上岗。如需更换本条约定人员，</w:t>
            </w:r>
            <w:r>
              <w:rPr>
                <w:rFonts w:ascii="仿宋_GB2312" w:hAnsi="仿宋_GB2312" w:cs="仿宋_GB2312" w:eastAsia="仿宋_GB2312"/>
                <w:sz w:val="24"/>
              </w:rPr>
              <w:t>成交供应商</w:t>
            </w:r>
            <w:r>
              <w:rPr>
                <w:rFonts w:ascii="仿宋_GB2312" w:hAnsi="仿宋_GB2312" w:cs="仿宋_GB2312" w:eastAsia="仿宋_GB2312"/>
                <w:sz w:val="24"/>
              </w:rPr>
              <w:t>应确保人员更换不影响服务质量。采购人提供</w:t>
            </w:r>
            <w:r>
              <w:rPr>
                <w:rFonts w:ascii="仿宋_GB2312" w:hAnsi="仿宋_GB2312" w:cs="仿宋_GB2312" w:eastAsia="仿宋_GB2312"/>
                <w:sz w:val="24"/>
              </w:rPr>
              <w:t>部分值班人员</w:t>
            </w:r>
            <w:r>
              <w:rPr>
                <w:rFonts w:ascii="仿宋_GB2312" w:hAnsi="仿宋_GB2312" w:cs="仿宋_GB2312" w:eastAsia="仿宋_GB2312"/>
                <w:sz w:val="24"/>
              </w:rPr>
              <w:t>住宿场地。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必须在节假日期间根据采购方要求留有足够的保障人员，确保采购方值班人员及加班人员的饮食保障。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、根据就餐人数，要求配置</w:t>
            </w:r>
            <w:r>
              <w:rPr>
                <w:rFonts w:ascii="仿宋_GB2312" w:hAnsi="仿宋_GB2312" w:cs="仿宋_GB2312" w:eastAsia="仿宋_GB2312"/>
                <w:sz w:val="24"/>
              </w:rPr>
              <w:t>至少</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人进行服务保障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、采购方协助</w:t>
            </w:r>
            <w:r>
              <w:rPr>
                <w:rFonts w:ascii="仿宋_GB2312" w:hAnsi="仿宋_GB2312" w:cs="仿宋_GB2312" w:eastAsia="仿宋_GB2312"/>
                <w:sz w:val="24"/>
              </w:rPr>
              <w:t>成交供应商</w:t>
            </w:r>
            <w:r>
              <w:rPr>
                <w:rFonts w:ascii="仿宋_GB2312" w:hAnsi="仿宋_GB2312" w:cs="仿宋_GB2312" w:eastAsia="仿宋_GB2312"/>
                <w:sz w:val="24"/>
              </w:rPr>
              <w:t>办理餐厅《食品经营许可证》，协调处理</w:t>
            </w:r>
            <w:r>
              <w:rPr>
                <w:rFonts w:ascii="仿宋_GB2312" w:hAnsi="仿宋_GB2312" w:cs="仿宋_GB2312" w:eastAsia="仿宋_GB2312"/>
                <w:sz w:val="24"/>
              </w:rPr>
              <w:t>成交供应商</w:t>
            </w:r>
            <w:r>
              <w:rPr>
                <w:rFonts w:ascii="仿宋_GB2312" w:hAnsi="仿宋_GB2312" w:cs="仿宋_GB2312" w:eastAsia="仿宋_GB2312"/>
                <w:sz w:val="24"/>
              </w:rPr>
              <w:t>与当地市场监督、税务等国家行政执法部门的关系。</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应指派符合采购方需求的专业人员完成工作。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必须按照采购人的要求，按时保质、保量地提供优质服务，保证采购人满意，不得分包转包所中标项目。</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用工制度根据实际工作需要自行制订，但必须符合国家相关法律、法规。</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定期对员工进行入职培训、消防培训、保密培训、食品安全培训等岗位培训，不断提高员工素质及技能，遵守采购单位内部管理措施。</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在</w:t>
            </w:r>
            <w:r>
              <w:rPr>
                <w:rFonts w:ascii="仿宋_GB2312" w:hAnsi="仿宋_GB2312" w:cs="仿宋_GB2312" w:eastAsia="仿宋_GB2312"/>
                <w:sz w:val="24"/>
              </w:rPr>
              <w:t>服务</w:t>
            </w:r>
            <w:r>
              <w:rPr>
                <w:rFonts w:ascii="仿宋_GB2312" w:hAnsi="仿宋_GB2312" w:cs="仿宋_GB2312" w:eastAsia="仿宋_GB2312"/>
                <w:sz w:val="24"/>
              </w:rPr>
              <w:t>期间，应严格执行《食品安全法》，确保食品质量，杜绝发生食品安全事件，由于</w:t>
            </w:r>
            <w:r>
              <w:rPr>
                <w:rFonts w:ascii="仿宋_GB2312" w:hAnsi="仿宋_GB2312" w:cs="仿宋_GB2312" w:eastAsia="仿宋_GB2312"/>
                <w:sz w:val="24"/>
              </w:rPr>
              <w:t>成交供应商</w:t>
            </w:r>
            <w:r>
              <w:rPr>
                <w:rFonts w:ascii="仿宋_GB2312" w:hAnsi="仿宋_GB2312" w:cs="仿宋_GB2312" w:eastAsia="仿宋_GB2312"/>
                <w:sz w:val="24"/>
              </w:rPr>
              <w:t>管理不善或</w:t>
            </w:r>
            <w:r>
              <w:rPr>
                <w:rFonts w:ascii="仿宋_GB2312" w:hAnsi="仿宋_GB2312" w:cs="仿宋_GB2312" w:eastAsia="仿宋_GB2312"/>
                <w:sz w:val="24"/>
              </w:rPr>
              <w:t>人</w:t>
            </w:r>
            <w:r>
              <w:rPr>
                <w:rFonts w:ascii="仿宋_GB2312" w:hAnsi="仿宋_GB2312" w:cs="仿宋_GB2312" w:eastAsia="仿宋_GB2312"/>
                <w:sz w:val="24"/>
              </w:rPr>
              <w:t>员操作等因素引发的食品卫生安全事件，由</w:t>
            </w:r>
            <w:r>
              <w:rPr>
                <w:rFonts w:ascii="仿宋_GB2312" w:hAnsi="仿宋_GB2312" w:cs="仿宋_GB2312" w:eastAsia="仿宋_GB2312"/>
                <w:sz w:val="24"/>
              </w:rPr>
              <w:t>成交供应商</w:t>
            </w:r>
            <w:r>
              <w:rPr>
                <w:rFonts w:ascii="仿宋_GB2312" w:hAnsi="仿宋_GB2312" w:cs="仿宋_GB2312" w:eastAsia="仿宋_GB2312"/>
                <w:sz w:val="24"/>
              </w:rPr>
              <w:t>负全部责任，并无条件进行善后处理，采购人配合。</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成交供应商</w:t>
            </w:r>
            <w:r>
              <w:rPr>
                <w:rFonts w:ascii="仿宋_GB2312" w:hAnsi="仿宋_GB2312" w:cs="仿宋_GB2312" w:eastAsia="仿宋_GB2312"/>
                <w:sz w:val="24"/>
              </w:rPr>
              <w:t>应协助采购人对第三方配送的原材料进行检查验收，保证配送的食材新鲜，符合国家相关标准。</w:t>
            </w:r>
            <w:r>
              <w:rPr>
                <w:rFonts w:ascii="仿宋_GB2312" w:hAnsi="仿宋_GB2312" w:cs="仿宋_GB2312" w:eastAsia="仿宋_GB2312"/>
                <w:sz w:val="24"/>
              </w:rPr>
              <w:t>成交供应商</w:t>
            </w:r>
            <w:r>
              <w:rPr>
                <w:rFonts w:ascii="仿宋_GB2312" w:hAnsi="仿宋_GB2312" w:cs="仿宋_GB2312" w:eastAsia="仿宋_GB2312"/>
                <w:sz w:val="24"/>
              </w:rPr>
              <w:t>按规定严格把好储存关、加工关、留样关，特别是食品加工过程的卫生安全，保障食品安全。在合同期内违反国家法律和采购人的管理制度以及《食品安全法》相关规定，采购人有权进行处罚并要求</w:t>
            </w:r>
            <w:r>
              <w:rPr>
                <w:rFonts w:ascii="仿宋_GB2312" w:hAnsi="仿宋_GB2312" w:cs="仿宋_GB2312" w:eastAsia="仿宋_GB2312"/>
                <w:sz w:val="24"/>
              </w:rPr>
              <w:t>成交供应商</w:t>
            </w:r>
            <w:r>
              <w:rPr>
                <w:rFonts w:ascii="仿宋_GB2312" w:hAnsi="仿宋_GB2312" w:cs="仿宋_GB2312" w:eastAsia="仿宋_GB2312"/>
                <w:sz w:val="24"/>
              </w:rPr>
              <w:t>及时整改。</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成交供应商</w:t>
            </w:r>
            <w:r>
              <w:rPr>
                <w:rFonts w:ascii="仿宋_GB2312" w:hAnsi="仿宋_GB2312" w:cs="仿宋_GB2312" w:eastAsia="仿宋_GB2312"/>
                <w:sz w:val="24"/>
              </w:rPr>
              <w:t>负责厨房所辖区域各类设备、设施安全维护工作及确保用水、用电、用气安全工作。采购人将厨房及设备、设施交付</w:t>
            </w:r>
            <w:r>
              <w:rPr>
                <w:rFonts w:ascii="仿宋_GB2312" w:hAnsi="仿宋_GB2312" w:cs="仿宋_GB2312" w:eastAsia="仿宋_GB2312"/>
                <w:sz w:val="24"/>
              </w:rPr>
              <w:t>成交供应商</w:t>
            </w:r>
            <w:r>
              <w:rPr>
                <w:rFonts w:ascii="仿宋_GB2312" w:hAnsi="仿宋_GB2312" w:cs="仿宋_GB2312" w:eastAsia="仿宋_GB2312"/>
                <w:sz w:val="24"/>
              </w:rPr>
              <w:t>使用，</w:t>
            </w:r>
            <w:r>
              <w:rPr>
                <w:rFonts w:ascii="仿宋_GB2312" w:hAnsi="仿宋_GB2312" w:cs="仿宋_GB2312" w:eastAsia="仿宋_GB2312"/>
                <w:sz w:val="24"/>
              </w:rPr>
              <w:t>成交供应商</w:t>
            </w:r>
            <w:r>
              <w:rPr>
                <w:rFonts w:ascii="仿宋_GB2312" w:hAnsi="仿宋_GB2312" w:cs="仿宋_GB2312" w:eastAsia="仿宋_GB2312"/>
                <w:sz w:val="24"/>
              </w:rPr>
              <w:t>负责餐厅内设备日常使用、保养、管理，人为原因造成设备设施损坏由</w:t>
            </w:r>
            <w:r>
              <w:rPr>
                <w:rFonts w:ascii="仿宋_GB2312" w:hAnsi="仿宋_GB2312" w:cs="仿宋_GB2312" w:eastAsia="仿宋_GB2312"/>
                <w:sz w:val="24"/>
              </w:rPr>
              <w:t>成交供应商</w:t>
            </w:r>
            <w:r>
              <w:rPr>
                <w:rFonts w:ascii="仿宋_GB2312" w:hAnsi="仿宋_GB2312" w:cs="仿宋_GB2312" w:eastAsia="仿宋_GB2312"/>
                <w:sz w:val="24"/>
              </w:rPr>
              <w:t>负责维修、赔偿。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成交供应商</w:t>
            </w:r>
            <w:r>
              <w:rPr>
                <w:rFonts w:ascii="仿宋_GB2312" w:hAnsi="仿宋_GB2312" w:cs="仿宋_GB2312" w:eastAsia="仿宋_GB2312"/>
                <w:sz w:val="24"/>
              </w:rPr>
              <w:t>负责食堂食品安全监督，卫生及整体安全等工作。餐厅工作人员下班前，要关好门窗，关闭电源开关，燃气开关等，管理人员要经常督促、检查，做好防盗工作。接受采购人的安全管理及检查；</w:t>
            </w:r>
            <w:r>
              <w:rPr>
                <w:rFonts w:ascii="仿宋_GB2312" w:hAnsi="仿宋_GB2312" w:cs="仿宋_GB2312" w:eastAsia="仿宋_GB2312"/>
                <w:sz w:val="24"/>
              </w:rPr>
              <w:t>成交供应商</w:t>
            </w:r>
            <w:r>
              <w:rPr>
                <w:rFonts w:ascii="仿宋_GB2312" w:hAnsi="仿宋_GB2312" w:cs="仿宋_GB2312" w:eastAsia="仿宋_GB2312"/>
                <w:sz w:val="24"/>
              </w:rPr>
              <w:t>应当对合同履行过程中的安全负责，对合同履行中可能发生的安全事故承担法律责任，并承担最终的、全部的事故经济赔偿责任；且对因安全事故导致包括但不限于</w:t>
            </w:r>
            <w:r>
              <w:rPr>
                <w:rFonts w:ascii="仿宋_GB2312" w:hAnsi="仿宋_GB2312" w:cs="仿宋_GB2312" w:eastAsia="仿宋_GB2312"/>
                <w:sz w:val="24"/>
              </w:rPr>
              <w:t>成交供应商</w:t>
            </w:r>
            <w:r>
              <w:rPr>
                <w:rFonts w:ascii="仿宋_GB2312" w:hAnsi="仿宋_GB2312" w:cs="仿宋_GB2312" w:eastAsia="仿宋_GB2312"/>
                <w:sz w:val="24"/>
              </w:rPr>
              <w:t>（单位）员工和任何第三人等的人身损害承担全部赔偿责任。</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成交供应商</w:t>
            </w:r>
            <w:r>
              <w:rPr>
                <w:rFonts w:ascii="仿宋_GB2312" w:hAnsi="仿宋_GB2312" w:cs="仿宋_GB2312" w:eastAsia="仿宋_GB2312"/>
                <w:sz w:val="24"/>
              </w:rPr>
              <w:t>保证食堂餐品的正常及时供应，合理搭配具有色、香、味、美、营养丰富的食品，确保食品品种多样化，可满足员工不同口味的就餐需求。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成交供应商</w:t>
            </w:r>
            <w:r>
              <w:rPr>
                <w:rFonts w:ascii="仿宋_GB2312" w:hAnsi="仿宋_GB2312" w:cs="仿宋_GB2312" w:eastAsia="仿宋_GB2312"/>
                <w:sz w:val="24"/>
              </w:rPr>
              <w:t>保证在每周周五下午下班之前制定出餐厅第二周食谱，经采购人负责人审定后执行。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成交供应商</w:t>
            </w:r>
            <w:r>
              <w:rPr>
                <w:rFonts w:ascii="仿宋_GB2312" w:hAnsi="仿宋_GB2312" w:cs="仿宋_GB2312" w:eastAsia="仿宋_GB2312"/>
                <w:sz w:val="24"/>
              </w:rPr>
              <w:t>采取必要的降本节支措施，在确保服务质量的前提下，实现服务高效运行。</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成交供应商</w:t>
            </w:r>
            <w:r>
              <w:rPr>
                <w:rFonts w:ascii="仿宋_GB2312" w:hAnsi="仿宋_GB2312" w:cs="仿宋_GB2312" w:eastAsia="仿宋_GB2312"/>
                <w:sz w:val="24"/>
              </w:rPr>
              <w:t>需要对客户服务需求进行分析并不断改进。</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成交供应商</w:t>
            </w:r>
            <w:r>
              <w:rPr>
                <w:rFonts w:ascii="仿宋_GB2312" w:hAnsi="仿宋_GB2312" w:cs="仿宋_GB2312" w:eastAsia="仿宋_GB2312"/>
                <w:sz w:val="24"/>
              </w:rPr>
              <w:t>负责餐厅及操作间的日常清洁和定期消杀工作，应确保环境符合卫生标准。</w:t>
            </w:r>
          </w:p>
          <w:p>
            <w:pPr>
              <w:pStyle w:val="null3"/>
              <w:ind w:firstLine="480"/>
              <w:jc w:val="both"/>
            </w:pPr>
            <w:r>
              <w:rPr>
                <w:rFonts w:ascii="仿宋_GB2312" w:hAnsi="仿宋_GB2312" w:cs="仿宋_GB2312" w:eastAsia="仿宋_GB2312"/>
                <w:sz w:val="24"/>
              </w:rPr>
              <w:t>(7)垃圾袋、洗洁精及餐巾纸等消耗品及耗材由采购人负责。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8）采购人节假日或晚上加班需用餐的，应提前告知</w:t>
            </w:r>
            <w:r>
              <w:rPr>
                <w:rFonts w:ascii="仿宋_GB2312" w:hAnsi="仿宋_GB2312" w:cs="仿宋_GB2312" w:eastAsia="仿宋_GB2312"/>
                <w:sz w:val="24"/>
              </w:rPr>
              <w:t>成交供应商</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应按照采购人要求提供餐饮服务。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9）采购人单位职工或其他人员因食用</w:t>
            </w:r>
            <w:r>
              <w:rPr>
                <w:rFonts w:ascii="仿宋_GB2312" w:hAnsi="仿宋_GB2312" w:cs="仿宋_GB2312" w:eastAsia="仿宋_GB2312"/>
                <w:sz w:val="24"/>
              </w:rPr>
              <w:t>成交供应商</w:t>
            </w:r>
            <w:r>
              <w:rPr>
                <w:rFonts w:ascii="仿宋_GB2312" w:hAnsi="仿宋_GB2312" w:cs="仿宋_GB2312" w:eastAsia="仿宋_GB2312"/>
                <w:sz w:val="24"/>
              </w:rPr>
              <w:t>提供的商品发生食物中毒、生病等情形的，</w:t>
            </w:r>
            <w:r>
              <w:rPr>
                <w:rFonts w:ascii="仿宋_GB2312" w:hAnsi="仿宋_GB2312" w:cs="仿宋_GB2312" w:eastAsia="仿宋_GB2312"/>
                <w:sz w:val="24"/>
              </w:rPr>
              <w:t>成交供应商</w:t>
            </w:r>
            <w:r>
              <w:rPr>
                <w:rFonts w:ascii="仿宋_GB2312" w:hAnsi="仿宋_GB2312" w:cs="仿宋_GB2312" w:eastAsia="仿宋_GB2312"/>
                <w:sz w:val="24"/>
              </w:rPr>
              <w:t>需承担所有相关责任，赔偿相应经济损失。情节严重的，采购人有权立即解除本合同，并参考相关法律追究责任。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需保持餐具、厨具和操作间卫生干净整洁，餐具用后应彻底清洗并及时消毒，平时存放在消毒柜中；生、熟菜板（刀）要分开，不能混用；餐具厨具不得外借,严防食物中毒，操作间每周至少彻底清理擦洗1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使用炊事器具或用具要严格遵守操作规程，防止事故发生；严禁带非工作人员进入厨房和库房，易燃、易爆物品要严格按规定放置，杜绝意外事故发生；定期对炊事器具、天然气灶定期进行维护；职工餐厅内的固定资产 (如餐桌餐椅等)及厨房设施设备负有日常管理责任，定期进行盘点，如因管理不善导致损坏、遗失，应照价赔偿。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成交供应商</w:t>
            </w:r>
            <w:r>
              <w:rPr>
                <w:rFonts w:ascii="仿宋_GB2312" w:hAnsi="仿宋_GB2312" w:cs="仿宋_GB2312" w:eastAsia="仿宋_GB2312"/>
                <w:sz w:val="24"/>
              </w:rPr>
              <w:t>承担职工餐厅域内的独立法律责任，须承担为本项目服务员工的工伤、生病住院、意外伤害、场地责任险等费用。</w:t>
            </w:r>
            <w:r>
              <w:rPr>
                <w:rFonts w:ascii="仿宋_GB2312" w:hAnsi="仿宋_GB2312" w:cs="仿宋_GB2312" w:eastAsia="仿宋_GB2312"/>
                <w:sz w:val="24"/>
              </w:rPr>
              <w:t>成交供应商</w:t>
            </w:r>
            <w:r>
              <w:rPr>
                <w:rFonts w:ascii="仿宋_GB2312" w:hAnsi="仿宋_GB2312" w:cs="仿宋_GB2312" w:eastAsia="仿宋_GB2312"/>
                <w:sz w:val="24"/>
              </w:rPr>
              <w:t>安排到职工餐厅工作的人员与</w:t>
            </w:r>
            <w:r>
              <w:rPr>
                <w:rFonts w:ascii="仿宋_GB2312" w:hAnsi="仿宋_GB2312" w:cs="仿宋_GB2312" w:eastAsia="仿宋_GB2312"/>
                <w:sz w:val="24"/>
              </w:rPr>
              <w:t>成交供应商</w:t>
            </w:r>
            <w:r>
              <w:rPr>
                <w:rFonts w:ascii="仿宋_GB2312" w:hAnsi="仿宋_GB2312" w:cs="仿宋_GB2312" w:eastAsia="仿宋_GB2312"/>
                <w:sz w:val="24"/>
              </w:rPr>
              <w:t>存在劳动法律关系（包括劳动合同关系，工资保险关系和劳动用工手续等），与采购人仅存在合同管理关系，不存在劳动法律关系。</w:t>
            </w:r>
          </w:p>
          <w:p>
            <w:pPr>
              <w:pStyle w:val="null3"/>
              <w:jc w:val="both"/>
            </w:pPr>
            <w:r>
              <w:rPr>
                <w:rFonts w:ascii="仿宋_GB2312" w:hAnsi="仿宋_GB2312" w:cs="仿宋_GB2312" w:eastAsia="仿宋_GB2312"/>
                <w:sz w:val="28"/>
                <w:b/>
              </w:rPr>
              <w:t>四、商务要求</w:t>
            </w:r>
            <w:r>
              <w:rPr>
                <w:rFonts w:ascii="仿宋_GB2312" w:hAnsi="仿宋_GB2312" w:cs="仿宋_GB2312" w:eastAsia="仿宋_GB2312"/>
                <w:sz w:val="28"/>
                <w:b/>
              </w:rPr>
              <w:t>（本项为实质性条款，不得负偏离）</w:t>
            </w:r>
          </w:p>
          <w:p>
            <w:pPr>
              <w:pStyle w:val="null3"/>
              <w:ind w:firstLine="480"/>
              <w:jc w:val="both"/>
            </w:pPr>
            <w:r>
              <w:rPr>
                <w:rFonts w:ascii="仿宋_GB2312" w:hAnsi="仿宋_GB2312" w:cs="仿宋_GB2312" w:eastAsia="仿宋_GB2312"/>
                <w:sz w:val="24"/>
              </w:rPr>
              <w:t>（一）服务期限</w:t>
            </w:r>
            <w:r>
              <w:rPr>
                <w:rFonts w:ascii="仿宋_GB2312" w:hAnsi="仿宋_GB2312" w:cs="仿宋_GB2312" w:eastAsia="仿宋_GB2312"/>
                <w:sz w:val="24"/>
              </w:rPr>
              <w:t>：</w:t>
            </w:r>
            <w:r>
              <w:rPr>
                <w:rFonts w:ascii="仿宋_GB2312" w:hAnsi="仿宋_GB2312" w:cs="仿宋_GB2312" w:eastAsia="仿宋_GB2312"/>
                <w:sz w:val="24"/>
              </w:rPr>
              <w:t>1年。</w:t>
            </w:r>
          </w:p>
          <w:p>
            <w:pPr>
              <w:pStyle w:val="null3"/>
              <w:ind w:firstLine="480"/>
              <w:jc w:val="both"/>
            </w:pPr>
            <w:r>
              <w:rPr>
                <w:rFonts w:ascii="仿宋_GB2312" w:hAnsi="仿宋_GB2312" w:cs="仿宋_GB2312" w:eastAsia="仿宋_GB2312"/>
                <w:sz w:val="24"/>
              </w:rPr>
              <w:t>（二）款项结算</w:t>
            </w:r>
            <w:r>
              <w:rPr>
                <w:rFonts w:ascii="仿宋_GB2312" w:hAnsi="仿宋_GB2312" w:cs="仿宋_GB2312" w:eastAsia="仿宋_GB2312"/>
                <w:sz w:val="24"/>
              </w:rPr>
              <w:t>：按月据实结算</w:t>
            </w:r>
            <w:r>
              <w:rPr>
                <w:rFonts w:ascii="仿宋_GB2312" w:hAnsi="仿宋_GB2312" w:cs="仿宋_GB2312" w:eastAsia="仿宋_GB2312"/>
                <w:sz w:val="24"/>
              </w:rPr>
              <w:t>，首月至第十一个月达到付款条件起20日内，支付合同总金额的7.9%。第十二个月</w:t>
            </w:r>
            <w:r>
              <w:rPr>
                <w:rFonts w:ascii="仿宋_GB2312" w:hAnsi="仿宋_GB2312" w:cs="仿宋_GB2312" w:eastAsia="仿宋_GB2312"/>
                <w:sz w:val="24"/>
              </w:rPr>
              <w:t>达到付款条件起20日内，支付合同总金额的8.1%。</w:t>
            </w:r>
            <w:r>
              <w:rPr>
                <w:rFonts w:ascii="仿宋_GB2312" w:hAnsi="仿宋_GB2312" w:cs="仿宋_GB2312" w:eastAsia="仿宋_GB2312"/>
                <w:sz w:val="24"/>
              </w:rPr>
              <w:t>服务期满验收合格，绩效评价合格后，</w:t>
            </w:r>
            <w:r>
              <w:rPr>
                <w:rFonts w:ascii="仿宋_GB2312" w:hAnsi="仿宋_GB2312" w:cs="仿宋_GB2312" w:eastAsia="仿宋_GB2312"/>
                <w:sz w:val="24"/>
              </w:rPr>
              <w:t>达到付款条件起20日内，支付合同总金额的5%。</w:t>
            </w:r>
            <w:r>
              <w:rPr>
                <w:rFonts w:ascii="仿宋_GB2312" w:hAnsi="仿宋_GB2312" w:cs="仿宋_GB2312" w:eastAsia="仿宋_GB2312"/>
                <w:sz w:val="24"/>
              </w:rPr>
              <w:t>服务期每次付款前，</w:t>
            </w:r>
            <w:r>
              <w:rPr>
                <w:rFonts w:ascii="仿宋_GB2312" w:hAnsi="仿宋_GB2312" w:cs="仿宋_GB2312" w:eastAsia="仿宋_GB2312"/>
                <w:sz w:val="24"/>
              </w:rPr>
              <w:t>乙方</w:t>
            </w:r>
            <w:r>
              <w:rPr>
                <w:rFonts w:ascii="仿宋_GB2312" w:hAnsi="仿宋_GB2312" w:cs="仿宋_GB2312" w:eastAsia="仿宋_GB2312"/>
                <w:sz w:val="24"/>
              </w:rPr>
              <w:t>应提供等额的有效发票。</w:t>
            </w:r>
          </w:p>
          <w:p>
            <w:pPr>
              <w:pStyle w:val="null3"/>
              <w:jc w:val="both"/>
            </w:pPr>
            <w:r>
              <w:rPr>
                <w:rFonts w:ascii="仿宋_GB2312" w:hAnsi="仿宋_GB2312" w:cs="仿宋_GB2312" w:eastAsia="仿宋_GB2312"/>
                <w:sz w:val="28"/>
                <w:b/>
              </w:rPr>
              <w:t>五、其他</w:t>
            </w:r>
            <w:r>
              <w:rPr>
                <w:rFonts w:ascii="仿宋_GB2312" w:hAnsi="仿宋_GB2312" w:cs="仿宋_GB2312" w:eastAsia="仿宋_GB2312"/>
                <w:sz w:val="28"/>
                <w:b/>
              </w:rPr>
              <w:t>（本项为实质性条款，不得负偏离）</w:t>
            </w:r>
          </w:p>
          <w:p>
            <w:pPr>
              <w:pStyle w:val="null3"/>
              <w:ind w:firstLine="480"/>
              <w:jc w:val="both"/>
            </w:pPr>
            <w:r>
              <w:rPr>
                <w:rFonts w:ascii="仿宋_GB2312" w:hAnsi="仿宋_GB2312" w:cs="仿宋_GB2312" w:eastAsia="仿宋_GB2312"/>
                <w:sz w:val="24"/>
              </w:rPr>
              <w:t>1、采购方负责提供符合安全生产管理规定的经营场所、设施设备、餐具用具、餐桌椅等物品及各类生产用房及水、电、暖、燃气、照明设施设备并可以正常使用，承担</w:t>
            </w:r>
            <w:r>
              <w:rPr>
                <w:rFonts w:ascii="仿宋_GB2312" w:hAnsi="仿宋_GB2312" w:cs="仿宋_GB2312" w:eastAsia="仿宋_GB2312"/>
                <w:sz w:val="24"/>
              </w:rPr>
              <w:t>成交供应商</w:t>
            </w:r>
            <w:r>
              <w:rPr>
                <w:rFonts w:ascii="仿宋_GB2312" w:hAnsi="仿宋_GB2312" w:cs="仿宋_GB2312" w:eastAsia="仿宋_GB2312"/>
                <w:sz w:val="24"/>
              </w:rPr>
              <w:t>在经营场所产生的水电气等全部费用。</w:t>
            </w:r>
          </w:p>
          <w:p>
            <w:pPr>
              <w:pStyle w:val="null3"/>
              <w:ind w:firstLine="480"/>
              <w:jc w:val="both"/>
            </w:pPr>
            <w:r>
              <w:rPr>
                <w:rFonts w:ascii="仿宋_GB2312" w:hAnsi="仿宋_GB2312" w:cs="仿宋_GB2312" w:eastAsia="仿宋_GB2312"/>
                <w:sz w:val="24"/>
              </w:rPr>
              <w:t>2、采购方负责餐厅天然气管道检修维护、气表检测年检、设施设备等物品的维修保养。</w:t>
            </w:r>
            <w:r>
              <w:rPr>
                <w:rFonts w:ascii="仿宋_GB2312" w:hAnsi="仿宋_GB2312" w:cs="仿宋_GB2312" w:eastAsia="仿宋_GB2312"/>
                <w:sz w:val="24"/>
              </w:rPr>
              <w:t>燃气及用电安全由</w:t>
            </w:r>
            <w:r>
              <w:rPr>
                <w:rFonts w:ascii="仿宋_GB2312" w:hAnsi="仿宋_GB2312" w:cs="仿宋_GB2312" w:eastAsia="仿宋_GB2312"/>
                <w:sz w:val="24"/>
              </w:rPr>
              <w:t>成交供应商</w:t>
            </w:r>
            <w:r>
              <w:rPr>
                <w:rFonts w:ascii="仿宋_GB2312" w:hAnsi="仿宋_GB2312" w:cs="仿宋_GB2312" w:eastAsia="仿宋_GB2312"/>
                <w:sz w:val="24"/>
              </w:rPr>
              <w:t>负责，在使用过程中，由此引发的安全事故由中标方自行承担。</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根据单位就餐人数，经核算后，现拟定配置16人；具体要求详见3.2.2服务要求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雁塔区政务服务中心职工餐厅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确保食品质量，杜绝发生食品安全事件，由于管理不善或乙方人员操作等因素引发的食品卫生安全事件，由乙方负全部责任，并无条件进行善后处理，甲方配合。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按月据实结算，每次付款前，乙方应提供等额的有效发票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参照服务期总体履约验收情况和该项目绩效评价情况，验收 及绩效评价合格后予以付款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2、合同期内，如乙方出现违约情形，经甲方通知拒不弥补改正的，甲方可解除本合同，并要求乙方支付已支付服务费用 30% 的违约责任。同时，任何一方单方无故解除合同的，应承担违约责任，违约方应按合同总款的 10% 向对方支付违约金。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成交供应商应在领取成交通知书的同时线下提交响应文件正本壹套、副本贰套。若电子响应文件与纸质响应文件不一致的，以电子响应文件为准。线下递交文件地点：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或2025年度经审计的财务报告或在2025年6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合法注册的法人应提供营业执照（或事业法人证）、组织机构代码证、税务登记证或统一社会信用代码的营业执照或其他组织应提供合法证明文件或自然人提供身份证件；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2024年度或2025年度经审计的财务报告或在2025年6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提供时间在2025年6月1日至今任意一个月的缴纳证明；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①参加政府采购活动前三年内，在经营活动中没有重大违法记录的书面声明；②具有履行本合同所必需的设备和专业技术能力的声明；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1）以上为供应商的必备资格要求，资格证明文件无效或缺项的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供应商公章；（4）依法免税或不需要缴纳社会保障资金的供应商须提供相应证明文件；事业单位法人可不提供财务状况报告、缴纳税收证明及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响应文件语言及有效期是否符合竞争性磋商文件要求</w:t>
            </w:r>
          </w:p>
        </w:tc>
        <w:tc>
          <w:tcPr>
            <w:tcW w:type="dxa" w:w="1661"/>
          </w:tcPr>
          <w:p>
            <w:pPr>
              <w:pStyle w:val="null3"/>
            </w:pPr>
            <w:r>
              <w:rPr>
                <w:rFonts w:ascii="仿宋_GB2312" w:hAnsi="仿宋_GB2312" w:cs="仿宋_GB2312" w:eastAsia="仿宋_GB2312"/>
              </w:rPr>
              <w:t>响应文件封面 业绩.docx 中小企业声明函 残疾人福利性单位声明函 标的清单 报价表 商务应答表.docx 服务内容及服务邀请应答表.docx 响应函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响应文件是否符合竞争性磋商文件签字、盖章要求</w:t>
            </w:r>
          </w:p>
        </w:tc>
        <w:tc>
          <w:tcPr>
            <w:tcW w:type="dxa" w:w="1661"/>
          </w:tcPr>
          <w:p>
            <w:pPr>
              <w:pStyle w:val="null3"/>
            </w:pPr>
            <w:r>
              <w:rPr>
                <w:rFonts w:ascii="仿宋_GB2312" w:hAnsi="仿宋_GB2312" w:cs="仿宋_GB2312" w:eastAsia="仿宋_GB2312"/>
              </w:rPr>
              <w:t>响应文件封面 业绩.docx 中小企业声明函 残疾人福利性单位声明函 标的清单 报价表 商务应答表.docx 服务内容及服务邀请应答表.docx 响应函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响应文件是否符合竞争性磋商文件签字、盖章要求</w:t>
            </w:r>
          </w:p>
        </w:tc>
        <w:tc>
          <w:tcPr>
            <w:tcW w:type="dxa" w:w="3322"/>
          </w:tcPr>
          <w:p>
            <w:pPr>
              <w:pStyle w:val="null3"/>
            </w:pPr>
            <w:r>
              <w:rPr>
                <w:rFonts w:ascii="仿宋_GB2312" w:hAnsi="仿宋_GB2312" w:cs="仿宋_GB2312" w:eastAsia="仿宋_GB2312"/>
              </w:rPr>
              <w:t>（1）磋商报价是否符合唯一性要求： （2）磋商一览表填写是否符合要求； （3）计量单位、报价货币均是否符合磋商文件要求； （4）未超出采购预算或竞争性磋商文件规定的最高限价。</w:t>
            </w:r>
          </w:p>
        </w:tc>
        <w:tc>
          <w:tcPr>
            <w:tcW w:type="dxa" w:w="1661"/>
          </w:tcPr>
          <w:p>
            <w:pPr>
              <w:pStyle w:val="null3"/>
            </w:pPr>
            <w:r>
              <w:rPr>
                <w:rFonts w:ascii="仿宋_GB2312" w:hAnsi="仿宋_GB2312" w:cs="仿宋_GB2312" w:eastAsia="仿宋_GB2312"/>
              </w:rPr>
              <w:t>响应文件封面 标的清单 报价表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是否符合竞争性磋商文件相关要求；不能有任何采购人不能接受的附加条件。</w:t>
            </w:r>
          </w:p>
        </w:tc>
        <w:tc>
          <w:tcPr>
            <w:tcW w:type="dxa" w:w="1661"/>
          </w:tcPr>
          <w:p>
            <w:pPr>
              <w:pStyle w:val="null3"/>
            </w:pPr>
            <w:r>
              <w:rPr>
                <w:rFonts w:ascii="仿宋_GB2312" w:hAnsi="仿宋_GB2312" w:cs="仿宋_GB2312" w:eastAsia="仿宋_GB2312"/>
              </w:rPr>
              <w:t>响应文件封面 业绩.docx 中小企业声明函 残疾人福利性单位声明函 标的清单 报价表 商务应答表.docx 服务内容及服务邀请应答表.docx 响应函 资格证明文件.docx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完全理解并接受法律法规和竞争性磋商文件对供应商的各项须知、规约要求和责任义务，没有出现法律法规或竞争性磋商文件明确规定的其他被视为“无效投标”的情形。</w:t>
            </w:r>
          </w:p>
        </w:tc>
        <w:tc>
          <w:tcPr>
            <w:tcW w:type="dxa" w:w="1661"/>
          </w:tcPr>
          <w:p>
            <w:pPr>
              <w:pStyle w:val="null3"/>
            </w:pPr>
            <w:r>
              <w:rPr>
                <w:rFonts w:ascii="仿宋_GB2312" w:hAnsi="仿宋_GB2312" w:cs="仿宋_GB2312" w:eastAsia="仿宋_GB2312"/>
              </w:rPr>
              <w:t>响应文件封面 业绩.docx 中小企业声明函 残疾人福利性单位声明函 标的清单 报价表 商务应答表.docx 服务内容及服务邀请应答表.docx 响应函 资格证明文件.docx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针对本项目需求编制服务方案，包括①服务管理方案；②服务目标；③餐饮服务方案。 二、评审标准 1.完整性：方案须全面，对评审内容中的各项要求有详细描述及说明； 2.可实施性：切合本项目实际情况，实施步骤清晰、合理； 3.针对性：方案能够紧扣项目实际情况，内容科学合理。 三、赋分标准 每小项：每完全满足一个评审标准得1 分，每小项满分3分；共3小项，满分9分。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服务质量控制措施方案</w:t>
            </w:r>
          </w:p>
        </w:tc>
        <w:tc>
          <w:tcPr>
            <w:tcW w:type="dxa" w:w="2492"/>
          </w:tcPr>
          <w:p>
            <w:pPr>
              <w:pStyle w:val="null3"/>
            </w:pPr>
            <w:r>
              <w:rPr>
                <w:rFonts w:ascii="仿宋_GB2312" w:hAnsi="仿宋_GB2312" w:cs="仿宋_GB2312" w:eastAsia="仿宋_GB2312"/>
              </w:rPr>
              <w:t>一、评审内容 针对本项目需求编制服务质量控制措施方案，包括①食品卫生控制措施；②人员卫生管控措施；③环境卫生控制措施；④成本管控措施；⑤设施设备管理措施；⑥节能管理措施； 二、评审标准 1.完整性：方案须全面，对评审内容中的各项要求有详细描述及说明； 2.可实施性：切合本项目实际情况，实施步骤清晰、合理； 3.针对性：方案能够紧扣项目实际情况，内容科学合理。 三、赋分标准 每小项：每完全满足一个评审标准得1 分，每小项满分3分；共6小项，满分18分。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食品贮存管理及食品安全管理方案</w:t>
            </w:r>
          </w:p>
        </w:tc>
        <w:tc>
          <w:tcPr>
            <w:tcW w:type="dxa" w:w="2492"/>
          </w:tcPr>
          <w:p>
            <w:pPr>
              <w:pStyle w:val="null3"/>
            </w:pPr>
            <w:r>
              <w:rPr>
                <w:rFonts w:ascii="仿宋_GB2312" w:hAnsi="仿宋_GB2312" w:cs="仿宋_GB2312" w:eastAsia="仿宋_GB2312"/>
              </w:rPr>
              <w:t>一、评审内容 针对本项目需求编制食品贮存管理及食品安全管理方案，包括①食材贮存管理；②食品安全管理方案； 二、评审标准 1.完整性：方案须全面，对评审内容中的各项要求有详细描述及说明； 2.可实施性：切合本项目实际情况，实施步骤清晰、合理； 3.针对性：方案能够紧扣项目实际情况，内容科学合理。 三、赋分标准 每小项：每完全满足一个评审标准得1 分，每小项满分3分；共2小项，满分6分。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供应商提供服务承诺及保障措施，包括餐厅管理运营期间的①食品安全承诺、②厨房设备安全运行承诺、③菜品保障承诺、④餐厅环境卫生承诺及保障措施、⑤依法用工承诺及保障措施。所做承诺切实具体，每有一条有效承诺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膳食搭配</w:t>
            </w:r>
          </w:p>
        </w:tc>
        <w:tc>
          <w:tcPr>
            <w:tcW w:type="dxa" w:w="2492"/>
          </w:tcPr>
          <w:p>
            <w:pPr>
              <w:pStyle w:val="null3"/>
            </w:pPr>
            <w:r>
              <w:rPr>
                <w:rFonts w:ascii="仿宋_GB2312" w:hAnsi="仿宋_GB2312" w:cs="仿宋_GB2312" w:eastAsia="仿宋_GB2312"/>
              </w:rPr>
              <w:t>一、评审内容 针对本项目需求编制膳食搭配方案，包括①拟设置的菜肴品类；②膳食搭配营养； 二、评审标准 1.完整性：方案须全面，对评审内容中的各项要求有详细描述及说明； 2.可实施性：切合本项目实际情况，实施步骤清晰、合理； 3.针对性：方案能够紧扣项目实际情况，内容科学合理。 三、赋分标准 每小项：每完全满足一个评审标准得1 分，每小项满分3分；共2小项，满分6分。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针对本项目提供拟投入本项目的人员配置，人员配备齐全、专业性强，具备16人及以上得2分（除拟派厨师长还需提供中餐烹饪相关厨师证外，所有人员需提供有效的健康证），不足16人，或证明材料提供不齐全不得分。 2.项目团队方案 一、评审内容 供应商针对本项目提供①拟投入本项目的人员岗位设置及责任制度；②人员管理方案（包括但不限于培训方案、日常考勤、管理方案等） 二、评审标准 1.完整性：方案须全面，对评审内容中的各项要求有详细描述及说明； 2.可实施性：切合本项目实际情况，实施步骤清晰、合理； 3.针对性：方案能够紧扣项目实际情况，内容科学合理。 三、赋分标准 每小项：每完全满足一个评审标准得1 分，每小项满分3分；共2小项，满分6分。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针对本项目需求编制应急方案，包括①临时开餐处置方案；②食品安全事故及食物中毒事件应急预案；③食材短缺应急处置预案；④设备故障应急预案；⑤停水、停电、停气应急预案； 二、评审标准 1.完整性：方案须全面，对评审内容中的各项要求有详细描述及说明； 2.可实施性：切合本项目实际情况，实施步骤清晰、合理； 3.针对性：方案能够紧扣项目实际情况，内容科学合理。 三、赋分标准 每小项：每完全满足一个评审标准得1 分，每小项满分3分；共5小项，满分15分。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一、评审内容 供应商提供企业内部管理方案，包括以下6项内容：①餐厅经营管理制度；②工作制度（包含但不限于日常供餐制度、食材储存制度、消毒管理制度、清洁制度等）；③用工管理制度、激励机制和考核机制；④监督机制；⑤消防安全巡检机制； 二、评审标准 1.完整性：方案须全面，对评审内容中的各项要求有详细描述及说明； 2.可实施性：切合本项目实际情况，实施步骤清晰、合理； 3.针对性：方案能够紧扣项目实际情况，内容科学合理。 三、赋分标准 每小项：每完全满足一个评审标准得1 分，每小项满分3分；共5小项，满分15分。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供应商自2023年1月1日起至今，具有类似项目业绩，每提供一份合同得2分，满分8分。（时间以合同签订日期为准，响应文件中附加盖公章的合同复印件，否则不作为评审依据）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满足磋商文件要求且评审报价最低的报价为评标基准价，其价格分为满分。其他供应商的价格分统一按照下列公式计算：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