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版本号：ZHZB-2025（FW）00820260120001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雁塔区政务服务中心职工餐厅食材配送项目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ZHZB-2025（FW）008</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雁塔区政务服务中心职工餐厅食材配送项目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ZHZB-2025（FW）008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雁塔区政务服务中心职工餐厅食材配送项目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负责日常餐厅原材料（不含米、面、油）的采购和配送，主要内容为食堂所需的肉制品、水产品、蔬菜水果、干货调 味品及禽蛋等食材的采购及配送服务，保证职工餐厅正常开餐，保障本单位应对突发事件和应急备勤时期的原材料供给。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采购包1（雁塔区政务服务中心职工餐厅食材供应项目）：属于专门面向中小企业采购。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或2025年度经审计的财务报告或在2025年6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6月1日至今任意一个月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①供应商应具备有效的食品经营许可证；②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1）以上为供应商的必备资格要求，资格证明文件无效或缺项的响应文件按无效文件处理；（2）分支机构参与投标时，须提供分支机构符合资格要求的证明文件；（3）书面声明、法定代表人身份证明和法定代表人授权委托书应按采购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服务收费标准计算向陕西致恒招标代理有限公司交纳招标服务费。 2、招标服务费应采用转账、现金形式缴纳。 招标代理服务费汇款账户： 开户行名称：陕西致恒招标代理有限公司 开 户 行：中国民生银行股份有限公司西安高新开发区支行 帐 号：159322825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联系人：屈工</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日常餐厅原材料（不含米、面、油）的采购和配送，主要内容为食堂所需的肉制品、水产品、蔬菜水果、干货调味品及禽蛋等食材的采购及配送服务，保证职工餐厅正常开餐，保障本单位应对突发事件和应急备勤时期的原材料供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2,280,000.00</w:t>
      </w:r>
    </w:p>
    <w:p>
      <w:pPr>
        <w:pStyle w:val="null3"/>
      </w:pPr>
      <w:r>
        <w:rPr>
          <w:rFonts w:ascii="仿宋_GB2312" w:hAnsi="仿宋_GB2312" w:cs="仿宋_GB2312" w:eastAsia="仿宋_GB2312"/>
        </w:rPr>
        <w:t>采购包最高限价（元）: 2,280,000.00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标的名称：食材配送项目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4"/>
              </w:rPr>
              <w:t>中标人负责日常餐厅原材料</w:t>
            </w:r>
            <w:r>
              <w:rPr>
                <w:rFonts w:ascii="仿宋_GB2312" w:hAnsi="仿宋_GB2312" w:cs="仿宋_GB2312" w:eastAsia="仿宋_GB2312"/>
                <w:sz w:val="24"/>
              </w:rPr>
              <w:t>（</w:t>
            </w:r>
            <w:r>
              <w:rPr>
                <w:rFonts w:ascii="仿宋_GB2312" w:hAnsi="仿宋_GB2312" w:cs="仿宋_GB2312" w:eastAsia="仿宋_GB2312"/>
                <w:sz w:val="24"/>
              </w:rPr>
              <w:t>不含米、面、油</w:t>
            </w:r>
            <w:r>
              <w:rPr>
                <w:rFonts w:ascii="仿宋_GB2312" w:hAnsi="仿宋_GB2312" w:cs="仿宋_GB2312" w:eastAsia="仿宋_GB2312"/>
                <w:sz w:val="24"/>
              </w:rPr>
              <w:t>）</w:t>
            </w:r>
            <w:r>
              <w:rPr>
                <w:rFonts w:ascii="仿宋_GB2312" w:hAnsi="仿宋_GB2312" w:cs="仿宋_GB2312" w:eastAsia="仿宋_GB2312"/>
                <w:sz w:val="24"/>
              </w:rPr>
              <w:t>的采购和配送，主要内容为食堂所需的肉制品、水产品、蔬菜</w:t>
            </w:r>
            <w:r>
              <w:rPr>
                <w:rFonts w:ascii="仿宋_GB2312" w:hAnsi="仿宋_GB2312" w:cs="仿宋_GB2312" w:eastAsia="仿宋_GB2312"/>
                <w:sz w:val="24"/>
              </w:rPr>
              <w:t>水果</w:t>
            </w:r>
            <w:r>
              <w:rPr>
                <w:rFonts w:ascii="仿宋_GB2312" w:hAnsi="仿宋_GB2312" w:cs="仿宋_GB2312" w:eastAsia="仿宋_GB2312"/>
                <w:sz w:val="24"/>
              </w:rPr>
              <w:t>、干货调味品及禽蛋等食材的采购及配送服务，保证职工餐厅正常</w:t>
            </w:r>
            <w:r>
              <w:rPr>
                <w:rFonts w:ascii="仿宋_GB2312" w:hAnsi="仿宋_GB2312" w:cs="仿宋_GB2312" w:eastAsia="仿宋_GB2312"/>
                <w:sz w:val="24"/>
              </w:rPr>
              <w:t>开餐</w:t>
            </w:r>
            <w:r>
              <w:rPr>
                <w:rFonts w:ascii="仿宋_GB2312" w:hAnsi="仿宋_GB2312" w:cs="仿宋_GB2312" w:eastAsia="仿宋_GB2312"/>
                <w:sz w:val="24"/>
              </w:rPr>
              <w:t>，保障本单位应对突发事件和应急备勤时期的原材料供给。</w:t>
            </w:r>
          </w:p>
          <w:p>
            <w:pPr>
              <w:pStyle w:val="null3"/>
              <w:jc w:val="both"/>
            </w:pPr>
            <w:r>
              <w:rPr>
                <w:rFonts w:ascii="仿宋_GB2312" w:hAnsi="仿宋_GB2312" w:cs="仿宋_GB2312" w:eastAsia="仿宋_GB2312"/>
                <w:sz w:val="28"/>
                <w:b/>
              </w:rPr>
              <w:t>二、服务内容（采购内容）</w:t>
            </w:r>
          </w:p>
          <w:p>
            <w:pPr>
              <w:pStyle w:val="null3"/>
              <w:ind w:firstLine="560"/>
              <w:jc w:val="both"/>
            </w:pPr>
            <w:r>
              <w:rPr>
                <w:rFonts w:ascii="仿宋_GB2312" w:hAnsi="仿宋_GB2312" w:cs="仿宋_GB2312" w:eastAsia="仿宋_GB2312"/>
                <w:sz w:val="24"/>
              </w:rPr>
              <w:t>蔬菜类、水果类、肉类、蛋类、水产类、干调类、饮品类参数及要求</w:t>
            </w:r>
          </w:p>
          <w:p>
            <w:pPr>
              <w:pStyle w:val="null3"/>
              <w:ind w:firstLine="560"/>
              <w:jc w:val="both"/>
            </w:pPr>
            <w:r>
              <w:rPr>
                <w:rFonts w:ascii="仿宋_GB2312" w:hAnsi="仿宋_GB2312" w:cs="仿宋_GB2312" w:eastAsia="仿宋_GB2312"/>
                <w:sz w:val="24"/>
              </w:rPr>
              <w:t>供货品种及技术参数要求</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b/>
              </w:rPr>
              <w:t>（一）蔬菜类</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蔬菜应当根据</w:t>
            </w:r>
            <w:r>
              <w:rPr>
                <w:rFonts w:ascii="仿宋_GB2312" w:hAnsi="仿宋_GB2312" w:cs="仿宋_GB2312" w:eastAsia="仿宋_GB2312"/>
                <w:sz w:val="24"/>
              </w:rPr>
              <w:t>采购人</w:t>
            </w:r>
            <w:r>
              <w:rPr>
                <w:rFonts w:ascii="仿宋_GB2312" w:hAnsi="仿宋_GB2312" w:cs="仿宋_GB2312" w:eastAsia="仿宋_GB2312"/>
                <w:sz w:val="24"/>
              </w:rPr>
              <w:t>要求出具农药残留检测报告。</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蔬菜为新鲜蔬菜，质量必须符合国家食品卫生管理规定：</w:t>
            </w:r>
          </w:p>
          <w:p>
            <w:pPr>
              <w:pStyle w:val="null3"/>
              <w:ind w:firstLine="560"/>
              <w:jc w:val="both"/>
            </w:pPr>
            <w:r>
              <w:rPr>
                <w:rFonts w:ascii="仿宋_GB2312" w:hAnsi="仿宋_GB2312" w:cs="仿宋_GB2312" w:eastAsia="仿宋_GB2312"/>
                <w:sz w:val="24"/>
              </w:rPr>
              <w:t>①农药残留不得超过《食品安全国家标准 食品中农药最大残留限量》GB 2763-2021；</w:t>
            </w:r>
          </w:p>
          <w:p>
            <w:pPr>
              <w:pStyle w:val="null3"/>
              <w:ind w:firstLine="560"/>
              <w:jc w:val="both"/>
            </w:pPr>
            <w:r>
              <w:rPr>
                <w:rFonts w:ascii="仿宋_GB2312" w:hAnsi="仿宋_GB2312" w:cs="仿宋_GB2312" w:eastAsia="仿宋_GB2312"/>
                <w:sz w:val="24"/>
              </w:rPr>
              <w:t>②不得提供腐烂变质、黄叶、烂叶及带泥巴的蔬菜；</w:t>
            </w:r>
          </w:p>
          <w:p>
            <w:pPr>
              <w:pStyle w:val="null3"/>
              <w:ind w:firstLine="560"/>
              <w:jc w:val="both"/>
            </w:pPr>
            <w:r>
              <w:rPr>
                <w:rFonts w:ascii="仿宋_GB2312" w:hAnsi="仿宋_GB2312" w:cs="仿宋_GB2312" w:eastAsia="仿宋_GB2312"/>
                <w:sz w:val="24"/>
              </w:rPr>
              <w:t>③蔬菜外表不得人为喷洒水分和有过多的虫孔；</w:t>
            </w:r>
          </w:p>
          <w:p>
            <w:pPr>
              <w:pStyle w:val="null3"/>
              <w:ind w:firstLine="560"/>
              <w:jc w:val="both"/>
            </w:pPr>
            <w:r>
              <w:rPr>
                <w:rFonts w:ascii="仿宋_GB2312" w:hAnsi="仿宋_GB2312" w:cs="仿宋_GB2312" w:eastAsia="仿宋_GB2312"/>
                <w:sz w:val="24"/>
              </w:rPr>
              <w:t>④不得提供过长的菜头和菜根。</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2）蔬菜种类</w:t>
            </w:r>
          </w:p>
          <w:p>
            <w:pPr>
              <w:pStyle w:val="null3"/>
              <w:ind w:firstLine="560"/>
              <w:jc w:val="both"/>
            </w:pPr>
            <w:r>
              <w:rPr>
                <w:rFonts w:ascii="仿宋_GB2312" w:hAnsi="仿宋_GB2312" w:cs="仿宋_GB2312" w:eastAsia="仿宋_GB2312"/>
                <w:sz w:val="24"/>
              </w:rPr>
              <w:t>蔬菜：大白菜、大头菜、菠菜、冬瓜、豆角、绿豆芽、胡萝卜、花菜、尖椒、黄瓜、角瓜、韭菜、茄子、芹菜、油菜、青豆、青椒、土豆、西红柿、鲜蘑、洋葱、小白菜、白萝卜、豇豆角、葱、姜、蒜、蒜苔、茼蒿、雪里蕻、海带丝、南瓜、西兰花、榨菜、香葱、芥菜丝、蒜苗、藕、香菜、杭椒、山药、青笋等。</w:t>
            </w:r>
          </w:p>
          <w:p>
            <w:pPr>
              <w:pStyle w:val="null3"/>
              <w:ind w:firstLine="560"/>
              <w:jc w:val="both"/>
            </w:pPr>
            <w:r>
              <w:rPr>
                <w:rFonts w:ascii="仿宋_GB2312" w:hAnsi="仿宋_GB2312" w:cs="仿宋_GB2312" w:eastAsia="仿宋_GB2312"/>
                <w:sz w:val="24"/>
              </w:rPr>
              <w:t>豆制品：豆制品</w:t>
            </w:r>
            <w:r>
              <w:rPr>
                <w:rFonts w:ascii="仿宋_GB2312" w:hAnsi="仿宋_GB2312" w:cs="仿宋_GB2312" w:eastAsia="仿宋_GB2312"/>
                <w:sz w:val="24"/>
              </w:rPr>
              <w:t>豆腐、豆腐干、绿豆芽、黄豆芽、红豆等；须保证食材干净、不含非食品用化学物质、按统一标准加工、码放整齐、无须二次处理可以直接进行熟加工。</w:t>
            </w:r>
          </w:p>
          <w:p>
            <w:pPr>
              <w:pStyle w:val="null3"/>
              <w:ind w:firstLine="560"/>
              <w:jc w:val="both"/>
            </w:pPr>
            <w:r>
              <w:rPr>
                <w:rFonts w:ascii="仿宋_GB2312" w:hAnsi="仿宋_GB2312" w:cs="仿宋_GB2312" w:eastAsia="仿宋_GB2312"/>
                <w:sz w:val="24"/>
                <w:b/>
              </w:rPr>
              <w:t>（二）水果类</w:t>
            </w:r>
          </w:p>
          <w:p>
            <w:pPr>
              <w:pStyle w:val="null3"/>
              <w:ind w:firstLine="560"/>
              <w:jc w:val="both"/>
            </w:pPr>
            <w:r>
              <w:rPr>
                <w:rFonts w:ascii="仿宋_GB2312" w:hAnsi="仿宋_GB2312" w:cs="仿宋_GB2312" w:eastAsia="仿宋_GB2312"/>
                <w:sz w:val="24"/>
              </w:rPr>
              <w:t>1.水果应当根据</w:t>
            </w:r>
            <w:r>
              <w:rPr>
                <w:rFonts w:ascii="仿宋_GB2312" w:hAnsi="仿宋_GB2312" w:cs="仿宋_GB2312" w:eastAsia="仿宋_GB2312"/>
                <w:sz w:val="24"/>
              </w:rPr>
              <w:t>采购人</w:t>
            </w:r>
            <w:r>
              <w:rPr>
                <w:rFonts w:ascii="仿宋_GB2312" w:hAnsi="仿宋_GB2312" w:cs="仿宋_GB2312" w:eastAsia="仿宋_GB2312"/>
                <w:sz w:val="24"/>
              </w:rPr>
              <w:t>要求出具农药残留检测报告。</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水果为新鲜水果，质量必须符合国家食品卫生管理规定：</w:t>
            </w:r>
          </w:p>
          <w:p>
            <w:pPr>
              <w:pStyle w:val="null3"/>
              <w:ind w:firstLine="560"/>
              <w:jc w:val="both"/>
            </w:pPr>
            <w:r>
              <w:rPr>
                <w:rFonts w:ascii="仿宋_GB2312" w:hAnsi="仿宋_GB2312" w:cs="仿宋_GB2312" w:eastAsia="仿宋_GB2312"/>
                <w:sz w:val="24"/>
              </w:rPr>
              <w:t>①农药残留不得超过《食品安全国家标准 食品中农药最大残留限量》GB 2763-2021；</w:t>
            </w:r>
          </w:p>
          <w:p>
            <w:pPr>
              <w:pStyle w:val="null3"/>
              <w:ind w:firstLine="560"/>
              <w:jc w:val="both"/>
            </w:pPr>
            <w:r>
              <w:rPr>
                <w:rFonts w:ascii="仿宋_GB2312" w:hAnsi="仿宋_GB2312" w:cs="仿宋_GB2312" w:eastAsia="仿宋_GB2312"/>
                <w:sz w:val="24"/>
              </w:rPr>
              <w:t>②果形端正，大小均匀，无畸形果，带果柄，果实无萎焉；</w:t>
            </w:r>
          </w:p>
          <w:p>
            <w:pPr>
              <w:pStyle w:val="null3"/>
              <w:ind w:firstLine="560"/>
              <w:jc w:val="both"/>
            </w:pPr>
            <w:r>
              <w:rPr>
                <w:rFonts w:ascii="仿宋_GB2312" w:hAnsi="仿宋_GB2312" w:cs="仿宋_GB2312" w:eastAsia="仿宋_GB2312"/>
                <w:sz w:val="24"/>
              </w:rPr>
              <w:t>③果面新鲜洁净，无刺划伤，无压痕，无病虫害，无病斑，无腐烂；</w:t>
            </w:r>
          </w:p>
          <w:p>
            <w:pPr>
              <w:pStyle w:val="null3"/>
              <w:ind w:firstLine="560"/>
              <w:jc w:val="both"/>
            </w:pPr>
            <w:r>
              <w:rPr>
                <w:rFonts w:ascii="仿宋_GB2312" w:hAnsi="仿宋_GB2312" w:cs="仿宋_GB2312" w:eastAsia="仿宋_GB2312"/>
                <w:sz w:val="24"/>
              </w:rPr>
              <w:t>④口感正常，具有水果特有的风味。</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2）水果种类</w:t>
            </w:r>
          </w:p>
          <w:p>
            <w:pPr>
              <w:pStyle w:val="null3"/>
              <w:ind w:firstLine="560"/>
              <w:jc w:val="both"/>
            </w:pPr>
            <w:r>
              <w:rPr>
                <w:rFonts w:ascii="仿宋_GB2312" w:hAnsi="仿宋_GB2312" w:cs="仿宋_GB2312" w:eastAsia="仿宋_GB2312"/>
                <w:sz w:val="24"/>
              </w:rPr>
              <w:t>苹果、梨、桃、香蕉、西瓜、杏、李等应季水果。</w:t>
            </w:r>
          </w:p>
          <w:p>
            <w:pPr>
              <w:pStyle w:val="null3"/>
              <w:ind w:firstLine="560"/>
              <w:jc w:val="both"/>
            </w:pPr>
            <w:r>
              <w:rPr>
                <w:rFonts w:ascii="仿宋_GB2312" w:hAnsi="仿宋_GB2312" w:cs="仿宋_GB2312" w:eastAsia="仿宋_GB2312"/>
                <w:sz w:val="24"/>
                <w:b/>
              </w:rPr>
              <w:t>（三）肉类</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①符合《食品安全国家标准 鲜(冻)畜、禽产品》GB2707-2016。</w:t>
            </w:r>
          </w:p>
          <w:p>
            <w:pPr>
              <w:pStyle w:val="null3"/>
              <w:ind w:firstLine="560"/>
              <w:jc w:val="both"/>
            </w:pPr>
            <w:r>
              <w:rPr>
                <w:rFonts w:ascii="仿宋_GB2312" w:hAnsi="仿宋_GB2312" w:cs="仿宋_GB2312" w:eastAsia="仿宋_GB2312"/>
                <w:sz w:val="24"/>
              </w:rPr>
              <w:t>②应有卫生检疫部门加盖的卫生检疫合格印章。</w:t>
            </w:r>
          </w:p>
          <w:p>
            <w:pPr>
              <w:pStyle w:val="null3"/>
              <w:ind w:firstLine="560"/>
              <w:jc w:val="both"/>
            </w:pPr>
            <w:r>
              <w:rPr>
                <w:rFonts w:ascii="仿宋_GB2312" w:hAnsi="仿宋_GB2312" w:cs="仿宋_GB2312" w:eastAsia="仿宋_GB2312"/>
                <w:sz w:val="24"/>
              </w:rPr>
              <w:t>③</w:t>
            </w:r>
            <w:r>
              <w:rPr>
                <w:rFonts w:ascii="仿宋_GB2312" w:hAnsi="仿宋_GB2312" w:cs="仿宋_GB2312" w:eastAsia="仿宋_GB2312"/>
                <w:sz w:val="24"/>
              </w:rPr>
              <w:t>应</w:t>
            </w:r>
            <w:r>
              <w:rPr>
                <w:rFonts w:ascii="仿宋_GB2312" w:hAnsi="仿宋_GB2312" w:cs="仿宋_GB2312" w:eastAsia="仿宋_GB2312"/>
                <w:sz w:val="24"/>
              </w:rPr>
              <w:t>为供应当天屠宰，不得预冷带冰。感官正常，表皮无病状，肌肉无积血，肉质色泽光润有弹性，应当卫生干净，不得沾染毛发污血或其它污染物，气味正常。</w:t>
            </w:r>
            <w:r>
              <w:rPr>
                <w:rFonts w:ascii="仿宋_GB2312" w:hAnsi="仿宋_GB2312" w:cs="仿宋_GB2312" w:eastAsia="仿宋_GB2312"/>
                <w:sz w:val="24"/>
              </w:rPr>
              <w:t>脂肪</w:t>
            </w:r>
            <w:r>
              <w:rPr>
                <w:rFonts w:ascii="仿宋_GB2312" w:hAnsi="仿宋_GB2312" w:cs="仿宋_GB2312" w:eastAsia="仿宋_GB2312"/>
                <w:sz w:val="24"/>
              </w:rPr>
              <w:t>有其固有色泽；票据标明生产地址、产品名称、生产日期、保质期，动物检疫合格证及肉品品质合格证明齐全。产品包装符合要求。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2）肉类种类</w:t>
            </w:r>
          </w:p>
          <w:p>
            <w:pPr>
              <w:pStyle w:val="null3"/>
              <w:ind w:firstLine="560"/>
              <w:jc w:val="both"/>
            </w:pPr>
            <w:r>
              <w:rPr>
                <w:rFonts w:ascii="仿宋_GB2312" w:hAnsi="仿宋_GB2312" w:cs="仿宋_GB2312" w:eastAsia="仿宋_GB2312"/>
                <w:sz w:val="24"/>
              </w:rPr>
              <w:t>精肉、排骨、猪蹄、牛肉、猪肉馅、猪耳朵、猪肝、里脊、猪肚、肥肠、后丘、五花、羊肉、红肠、鸡脖、鸡腿、白条鸡、鸡脯肉、鸡翅、鸭子等。</w:t>
            </w:r>
          </w:p>
          <w:p>
            <w:pPr>
              <w:pStyle w:val="null3"/>
              <w:ind w:firstLine="560"/>
              <w:jc w:val="both"/>
            </w:pPr>
            <w:r>
              <w:rPr>
                <w:rFonts w:ascii="仿宋_GB2312" w:hAnsi="仿宋_GB2312" w:cs="仿宋_GB2312" w:eastAsia="仿宋_GB2312"/>
                <w:sz w:val="24"/>
                <w:b/>
              </w:rPr>
              <w:t>（四）蛋类</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①鲜蛋应大小均匀，无破裂，蛋体清洁，无斑点，无粪便，无血迹，无污染，蛋型正常，色泽鲜明，蛋白浓厚，蛋黄居中，轮廓明显，胚胎未发育。</w:t>
            </w:r>
          </w:p>
          <w:p>
            <w:pPr>
              <w:pStyle w:val="null3"/>
              <w:ind w:firstLine="560"/>
              <w:jc w:val="both"/>
            </w:pPr>
            <w:r>
              <w:rPr>
                <w:rFonts w:ascii="仿宋_GB2312" w:hAnsi="仿宋_GB2312" w:cs="仿宋_GB2312" w:eastAsia="仿宋_GB2312"/>
                <w:sz w:val="24"/>
              </w:rPr>
              <w:t>②加工类蛋制品符合国家标准和行业标准。应有卫生检疫合格</w:t>
            </w:r>
            <w:r>
              <w:rPr>
                <w:rFonts w:ascii="仿宋_GB2312" w:hAnsi="仿宋_GB2312" w:cs="仿宋_GB2312" w:eastAsia="仿宋_GB2312"/>
                <w:sz w:val="24"/>
              </w:rPr>
              <w:t>证明</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2）蛋类种类</w:t>
            </w:r>
          </w:p>
          <w:p>
            <w:pPr>
              <w:pStyle w:val="null3"/>
              <w:ind w:firstLine="560"/>
              <w:jc w:val="both"/>
            </w:pPr>
            <w:r>
              <w:rPr>
                <w:rFonts w:ascii="仿宋_GB2312" w:hAnsi="仿宋_GB2312" w:cs="仿宋_GB2312" w:eastAsia="仿宋_GB2312"/>
                <w:sz w:val="24"/>
              </w:rPr>
              <w:t>鲜鸡蛋、鲜鸭蛋、松花蛋、咸鸭蛋等</w:t>
            </w:r>
          </w:p>
          <w:p>
            <w:pPr>
              <w:pStyle w:val="null3"/>
              <w:ind w:firstLine="560"/>
              <w:jc w:val="both"/>
            </w:pPr>
            <w:r>
              <w:rPr>
                <w:rFonts w:ascii="仿宋_GB2312" w:hAnsi="仿宋_GB2312" w:cs="仿宋_GB2312" w:eastAsia="仿宋_GB2312"/>
                <w:sz w:val="24"/>
                <w:b/>
              </w:rPr>
              <w:t>（五）水产类</w:t>
            </w:r>
          </w:p>
          <w:p>
            <w:pPr>
              <w:pStyle w:val="null3"/>
              <w:ind w:firstLine="560"/>
              <w:jc w:val="both"/>
            </w:pPr>
            <w:r>
              <w:rPr>
                <w:rFonts w:ascii="仿宋_GB2312" w:hAnsi="仿宋_GB2312" w:cs="仿宋_GB2312" w:eastAsia="仿宋_GB2312"/>
                <w:sz w:val="24"/>
              </w:rPr>
              <w:t>1.鱼、虾、等鲜、冻</w:t>
            </w:r>
            <w:r>
              <w:rPr>
                <w:rFonts w:ascii="仿宋_GB2312" w:hAnsi="仿宋_GB2312" w:cs="仿宋_GB2312" w:eastAsia="仿宋_GB2312"/>
                <w:sz w:val="24"/>
              </w:rPr>
              <w:t>品</w:t>
            </w:r>
            <w:r>
              <w:rPr>
                <w:rFonts w:ascii="仿宋_GB2312" w:hAnsi="仿宋_GB2312" w:cs="仿宋_GB2312" w:eastAsia="仿宋_GB2312"/>
                <w:sz w:val="24"/>
              </w:rPr>
              <w:t>货物类</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①符合《食品安全国家标准 鲜、冻动物性水产品》GB 2733-2015</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②淡水鱼、虾类必须鲜活，且符合食品卫生相关标准及法规要求。</w:t>
            </w:r>
          </w:p>
          <w:p>
            <w:pPr>
              <w:pStyle w:val="null3"/>
              <w:ind w:firstLine="560"/>
              <w:jc w:val="both"/>
            </w:pPr>
            <w:r>
              <w:rPr>
                <w:rFonts w:ascii="仿宋_GB2312" w:hAnsi="仿宋_GB2312" w:cs="仿宋_GB2312" w:eastAsia="仿宋_GB2312"/>
                <w:sz w:val="24"/>
              </w:rPr>
              <w:t>③冷冻品须配冷藏车运输。冻品外包装需完整，无破损，无不封口现象，有生产日期。冻品在解冻后，发现质量问题需退货。</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2）水产种类</w:t>
            </w:r>
          </w:p>
          <w:p>
            <w:pPr>
              <w:pStyle w:val="null3"/>
              <w:ind w:firstLine="560"/>
              <w:jc w:val="both"/>
            </w:pPr>
            <w:r>
              <w:rPr>
                <w:rFonts w:ascii="仿宋_GB2312" w:hAnsi="仿宋_GB2312" w:cs="仿宋_GB2312" w:eastAsia="仿宋_GB2312"/>
                <w:sz w:val="24"/>
              </w:rPr>
              <w:t>黄花鱼、青虾、刀鱼、草鱼、鲤鱼、鱼丸、鱿鱼、鲅鱼、冰虾、鲫鱼等。</w:t>
            </w:r>
          </w:p>
          <w:p>
            <w:pPr>
              <w:pStyle w:val="null3"/>
              <w:ind w:firstLine="560"/>
              <w:jc w:val="both"/>
            </w:pPr>
            <w:r>
              <w:rPr>
                <w:rFonts w:ascii="仿宋_GB2312" w:hAnsi="仿宋_GB2312" w:cs="仿宋_GB2312" w:eastAsia="仿宋_GB2312"/>
                <w:sz w:val="24"/>
                <w:b/>
              </w:rPr>
              <w:t>（六）干调类</w:t>
            </w:r>
          </w:p>
          <w:p>
            <w:pPr>
              <w:pStyle w:val="null3"/>
              <w:ind w:firstLine="560"/>
              <w:jc w:val="both"/>
            </w:pPr>
            <w:r>
              <w:rPr>
                <w:rFonts w:ascii="仿宋_GB2312" w:hAnsi="仿宋_GB2312" w:cs="仿宋_GB2312" w:eastAsia="仿宋_GB2312"/>
                <w:sz w:val="24"/>
              </w:rPr>
              <w:t>1.干菜调料</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①所有的调料干菜必须符合国家卫生标准和质量要求。</w:t>
            </w:r>
          </w:p>
          <w:p>
            <w:pPr>
              <w:pStyle w:val="null3"/>
              <w:ind w:firstLine="560"/>
              <w:jc w:val="both"/>
            </w:pPr>
            <w:r>
              <w:rPr>
                <w:rFonts w:ascii="仿宋_GB2312" w:hAnsi="仿宋_GB2312" w:cs="仿宋_GB2312" w:eastAsia="仿宋_GB2312"/>
                <w:sz w:val="24"/>
              </w:rPr>
              <w:t>②糖、味精、酱油、醋、豆制品、生粉等必须具有“QS”生产许可证或“SC”食品生产许可证。</w:t>
            </w:r>
          </w:p>
          <w:p>
            <w:pPr>
              <w:pStyle w:val="null3"/>
              <w:ind w:firstLine="560"/>
              <w:jc w:val="both"/>
            </w:pPr>
            <w:r>
              <w:rPr>
                <w:rFonts w:ascii="仿宋_GB2312" w:hAnsi="仿宋_GB2312" w:cs="仿宋_GB2312" w:eastAsia="仿宋_GB2312"/>
                <w:sz w:val="24"/>
              </w:rPr>
              <w:t>③无过期食品和邻近保质期食品，到期时间不低于保质期的三分之二。</w:t>
            </w:r>
          </w:p>
          <w:p>
            <w:pPr>
              <w:pStyle w:val="null3"/>
              <w:ind w:firstLine="560"/>
              <w:jc w:val="both"/>
            </w:pPr>
            <w:r>
              <w:rPr>
                <w:rFonts w:ascii="仿宋_GB2312" w:hAnsi="仿宋_GB2312" w:cs="仿宋_GB2312" w:eastAsia="仿宋_GB2312"/>
                <w:sz w:val="24"/>
              </w:rPr>
              <w:t>④不含有转基因原材料</w:t>
            </w:r>
            <w:r>
              <w:rPr>
                <w:rFonts w:ascii="仿宋_GB2312" w:hAnsi="仿宋_GB2312" w:cs="仿宋_GB2312" w:eastAsia="仿宋_GB2312"/>
                <w:sz w:val="24"/>
              </w:rPr>
              <w:t>、外包装无污物、无泄漏，无胀袋或胖听或鼓盖现象，无变质发霉现象。色泽正常，具有该品种固有的香味，滋味无异味，油酱均匀的酱体或无结块的粉状固体，封口平整，无破包，夹包，漏包，无污染。</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2）干调种类</w:t>
            </w:r>
          </w:p>
          <w:p>
            <w:pPr>
              <w:pStyle w:val="null3"/>
              <w:ind w:firstLine="560"/>
              <w:jc w:val="both"/>
            </w:pPr>
            <w:r>
              <w:rPr>
                <w:rFonts w:ascii="仿宋_GB2312" w:hAnsi="仿宋_GB2312" w:cs="仿宋_GB2312" w:eastAsia="仿宋_GB2312"/>
                <w:sz w:val="24"/>
              </w:rPr>
              <w:t>醋、白糖、火锅底料、料酒、花椒、粉条、盐、鸡精、木耳、干尖椒、大料、豆瓣酱、淀粉、十三香、老抽、酱油、花生米、味精、红糖、蚝油、干香菇、食用油等。</w:t>
            </w:r>
          </w:p>
          <w:p>
            <w:pPr>
              <w:pStyle w:val="null3"/>
              <w:ind w:firstLine="560"/>
              <w:jc w:val="both"/>
            </w:pPr>
            <w:r>
              <w:rPr>
                <w:rFonts w:ascii="仿宋_GB2312" w:hAnsi="仿宋_GB2312" w:cs="仿宋_GB2312" w:eastAsia="仿宋_GB2312"/>
                <w:sz w:val="24"/>
                <w:b/>
              </w:rPr>
              <w:t>（七）饮品类</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1）技术参数要求</w:t>
            </w:r>
          </w:p>
          <w:p>
            <w:pPr>
              <w:pStyle w:val="null3"/>
              <w:ind w:firstLine="560"/>
              <w:jc w:val="both"/>
            </w:pPr>
            <w:r>
              <w:rPr>
                <w:rFonts w:ascii="仿宋_GB2312" w:hAnsi="仿宋_GB2312" w:cs="仿宋_GB2312" w:eastAsia="仿宋_GB2312"/>
                <w:sz w:val="24"/>
              </w:rPr>
              <w:t>①</w:t>
            </w:r>
            <w:r>
              <w:rPr>
                <w:rFonts w:ascii="仿宋_GB2312" w:hAnsi="仿宋_GB2312" w:cs="仿宋_GB2312" w:eastAsia="仿宋_GB2312"/>
                <w:sz w:val="24"/>
              </w:rPr>
              <w:t>符合</w:t>
            </w:r>
            <w:r>
              <w:rPr>
                <w:rFonts w:ascii="仿宋_GB2312" w:hAnsi="仿宋_GB2312" w:cs="仿宋_GB2312" w:eastAsia="仿宋_GB2312"/>
                <w:sz w:val="24"/>
              </w:rPr>
              <w:t>《食品安全国家标准</w:t>
            </w:r>
            <w:r>
              <w:rPr>
                <w:rFonts w:ascii="仿宋_GB2312" w:hAnsi="仿宋_GB2312" w:cs="仿宋_GB2312" w:eastAsia="仿宋_GB2312"/>
                <w:sz w:val="24"/>
              </w:rPr>
              <w:t>灭菌乳》</w:t>
            </w:r>
            <w:r>
              <w:rPr>
                <w:rFonts w:ascii="仿宋_GB2312" w:hAnsi="仿宋_GB2312" w:cs="仿宋_GB2312" w:eastAsia="仿宋_GB2312"/>
                <w:sz w:val="24"/>
              </w:rPr>
              <w:t>GB 25190-2010</w:t>
            </w:r>
          </w:p>
          <w:p>
            <w:pPr>
              <w:pStyle w:val="null3"/>
              <w:ind w:firstLine="560"/>
              <w:jc w:val="both"/>
            </w:pPr>
            <w:r>
              <w:rPr>
                <w:rFonts w:ascii="仿宋_GB2312" w:hAnsi="仿宋_GB2312" w:cs="仿宋_GB2312" w:eastAsia="仿宋_GB2312"/>
                <w:sz w:val="24"/>
              </w:rPr>
              <w:t>②</w:t>
            </w:r>
            <w:r>
              <w:rPr>
                <w:rFonts w:ascii="仿宋_GB2312" w:hAnsi="仿宋_GB2312" w:cs="仿宋_GB2312" w:eastAsia="仿宋_GB2312"/>
                <w:sz w:val="24"/>
              </w:rPr>
              <w:t>符合</w:t>
            </w:r>
            <w:r>
              <w:rPr>
                <w:rFonts w:ascii="仿宋_GB2312" w:hAnsi="仿宋_GB2312" w:cs="仿宋_GB2312" w:eastAsia="仿宋_GB2312"/>
                <w:sz w:val="24"/>
              </w:rPr>
              <w:t>《食品安全国家标准</w:t>
            </w:r>
            <w:r>
              <w:rPr>
                <w:rFonts w:ascii="仿宋_GB2312" w:hAnsi="仿宋_GB2312" w:cs="仿宋_GB2312" w:eastAsia="仿宋_GB2312"/>
                <w:sz w:val="24"/>
              </w:rPr>
              <w:t>发酵乳》</w:t>
            </w:r>
            <w:r>
              <w:rPr>
                <w:rFonts w:ascii="仿宋_GB2312" w:hAnsi="仿宋_GB2312" w:cs="仿宋_GB2312" w:eastAsia="仿宋_GB2312"/>
                <w:sz w:val="21"/>
              </w:rPr>
              <w:t xml:space="preserve"> </w:t>
            </w:r>
            <w:r>
              <w:rPr>
                <w:rFonts w:ascii="仿宋_GB2312" w:hAnsi="仿宋_GB2312" w:cs="仿宋_GB2312" w:eastAsia="仿宋_GB2312"/>
                <w:sz w:val="24"/>
              </w:rPr>
              <w:t>GB 19302-2025</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2）乳制品种类</w:t>
            </w:r>
          </w:p>
          <w:p>
            <w:pPr>
              <w:pStyle w:val="null3"/>
              <w:ind w:firstLine="560"/>
              <w:jc w:val="both"/>
            </w:pPr>
            <w:r>
              <w:rPr>
                <w:rFonts w:ascii="仿宋_GB2312" w:hAnsi="仿宋_GB2312" w:cs="仿宋_GB2312" w:eastAsia="仿宋_GB2312"/>
                <w:sz w:val="24"/>
              </w:rPr>
              <w:t>推荐品牌：蒙牛、伊利、君乐宝、光明、辉山等</w:t>
            </w:r>
            <w:r>
              <w:rPr>
                <w:rFonts w:ascii="仿宋_GB2312" w:hAnsi="仿宋_GB2312" w:cs="仿宋_GB2312" w:eastAsia="仿宋_GB2312"/>
                <w:sz w:val="24"/>
              </w:rPr>
              <w:t>同等及以上品牌的</w:t>
            </w:r>
            <w:r>
              <w:rPr>
                <w:rFonts w:ascii="仿宋_GB2312" w:hAnsi="仿宋_GB2312" w:cs="仿宋_GB2312" w:eastAsia="仿宋_GB2312"/>
                <w:sz w:val="24"/>
              </w:rPr>
              <w:t>奶制品。</w:t>
            </w:r>
          </w:p>
          <w:p>
            <w:pPr>
              <w:pStyle w:val="null3"/>
              <w:ind w:firstLine="560"/>
              <w:jc w:val="both"/>
            </w:pPr>
            <w:r>
              <w:rPr>
                <w:rFonts w:ascii="仿宋_GB2312" w:hAnsi="仿宋_GB2312" w:cs="仿宋_GB2312" w:eastAsia="仿宋_GB2312"/>
                <w:sz w:val="24"/>
              </w:rPr>
              <w:t>备注：</w:t>
            </w:r>
            <w:r>
              <w:rPr>
                <w:rFonts w:ascii="仿宋_GB2312" w:hAnsi="仿宋_GB2312" w:cs="仿宋_GB2312" w:eastAsia="仿宋_GB2312"/>
                <w:sz w:val="24"/>
              </w:rPr>
              <w:t>1.以上副食品除具备表中所描述的规格及质量要求外，还必须符合国家《产品质量法》、《食品</w:t>
            </w:r>
            <w:r>
              <w:rPr>
                <w:rFonts w:ascii="仿宋_GB2312" w:hAnsi="仿宋_GB2312" w:cs="仿宋_GB2312" w:eastAsia="仿宋_GB2312"/>
                <w:sz w:val="24"/>
              </w:rPr>
              <w:t>安全</w:t>
            </w:r>
            <w:r>
              <w:rPr>
                <w:rFonts w:ascii="仿宋_GB2312" w:hAnsi="仿宋_GB2312" w:cs="仿宋_GB2312" w:eastAsia="仿宋_GB2312"/>
                <w:sz w:val="24"/>
              </w:rPr>
              <w:t>法》、《农产品安全质量无公害蔬菜安全要求》、《食品中污染限量》、《食品中农药最大残留限量》；符合国家有关环境保护、知识产权等方面的法律要求；符合地方卫生防疫部门、检验检疫部门的各项指标，并有完整的销售合格标注；符合有关食品管理规定。</w:t>
            </w:r>
            <w:r>
              <w:rPr>
                <w:rFonts w:ascii="仿宋_GB2312" w:hAnsi="仿宋_GB2312" w:cs="仿宋_GB2312" w:eastAsia="仿宋_GB2312"/>
                <w:sz w:val="24"/>
              </w:rPr>
              <w:t>2.以上没有涉及的品种，参照相应类别标准执行。3.调料类按国家标准《调味品分类》标准执行。</w:t>
            </w:r>
            <w:r>
              <w:rPr>
                <w:rFonts w:ascii="仿宋_GB2312" w:hAnsi="仿宋_GB2312" w:cs="仿宋_GB2312" w:eastAsia="仿宋_GB2312"/>
                <w:sz w:val="24"/>
              </w:rPr>
              <w:t>4.文件中标准规范如颁布新标准按新标准执行。</w:t>
            </w:r>
          </w:p>
          <w:p>
            <w:pPr>
              <w:pStyle w:val="null3"/>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甲方每天下午</w:t>
            </w:r>
            <w:r>
              <w:rPr>
                <w:rFonts w:ascii="仿宋_GB2312" w:hAnsi="仿宋_GB2312" w:cs="仿宋_GB2312" w:eastAsia="仿宋_GB2312"/>
                <w:sz w:val="24"/>
              </w:rPr>
              <w:t>18</w:t>
            </w:r>
            <w:r>
              <w:rPr>
                <w:rFonts w:ascii="仿宋_GB2312" w:hAnsi="仿宋_GB2312" w:cs="仿宋_GB2312" w:eastAsia="仿宋_GB2312"/>
                <w:sz w:val="24"/>
              </w:rPr>
              <w:t>:00前向乙方下达第二天的订单，甲方以微信或电话方式直接通知乙方，最终采购下订单数量以甲方每天下订单的数量为准。</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原则上考虑到叶菜类品种的特殊性，要求乙方实际供应除叶菜类外的数量与甲方订单要求相差不能超过</w:t>
            </w:r>
            <w:r>
              <w:rPr>
                <w:rFonts w:ascii="仿宋_GB2312" w:hAnsi="仿宋_GB2312" w:cs="仿宋_GB2312" w:eastAsia="仿宋_GB2312"/>
                <w:sz w:val="24"/>
              </w:rPr>
              <w:t>5</w:t>
            </w:r>
            <w:r>
              <w:rPr>
                <w:rFonts w:ascii="仿宋_GB2312" w:hAnsi="仿宋_GB2312" w:cs="仿宋_GB2312" w:eastAsia="仿宋_GB2312"/>
                <w:sz w:val="24"/>
              </w:rPr>
              <w:t>％，叶菜类的数量与甲方订单要求相差不能超过</w:t>
            </w:r>
            <w:r>
              <w:rPr>
                <w:rFonts w:ascii="仿宋_GB2312" w:hAnsi="仿宋_GB2312" w:cs="仿宋_GB2312" w:eastAsia="仿宋_GB2312"/>
                <w:sz w:val="24"/>
              </w:rPr>
              <w:t>5</w:t>
            </w:r>
            <w:r>
              <w:rPr>
                <w:rFonts w:ascii="仿宋_GB2312" w:hAnsi="仿宋_GB2312" w:cs="仿宋_GB2312" w:eastAsia="仿宋_GB2312"/>
                <w:sz w:val="24"/>
              </w:rPr>
              <w:t>％。各品种数量超出规定的部分由乙方带回，不纳入结算，短缺的部份由乙方补足。采购计划与实际下达的订单偏差控制在</w:t>
            </w:r>
            <w:r>
              <w:rPr>
                <w:rFonts w:ascii="仿宋_GB2312" w:hAnsi="仿宋_GB2312" w:cs="仿宋_GB2312" w:eastAsia="仿宋_GB2312"/>
                <w:sz w:val="24"/>
              </w:rPr>
              <w:t>5</w:t>
            </w:r>
            <w:r>
              <w:rPr>
                <w:rFonts w:ascii="仿宋_GB2312" w:hAnsi="仿宋_GB2312" w:cs="仿宋_GB2312" w:eastAsia="仿宋_GB2312"/>
                <w:sz w:val="24"/>
              </w:rPr>
              <w:t>％以内。</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乙方接到甲方订单后，个别品种因缺货而无法提供的，乙方应在接到订单当天内及时知会甲方并协商好解决方法。</w:t>
            </w:r>
          </w:p>
          <w:p>
            <w:pPr>
              <w:pStyle w:val="null3"/>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蔬菜类质量验收：安全、新鲜、放心的优质菜品。必须无黄叶，枯死叶，无虫，无杂质，色泽鲜亮，水分充足叶面饱满。原菜须保证菜面干净，无明显泥土，码放整齐，无破损，大小基本统一，不得过熟，净菜须保证菜面完全干净，无泥土，按统一标准加工，码放整齐。乙方必须每天提供所供蔬菜的农药残留检测报告。</w:t>
            </w:r>
            <w:r>
              <w:br/>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禽蛋类须新鲜，不超过三日以上产品，大小均匀，外壳无破裂，光洁饱满的产品，周转箱堆放。</w:t>
            </w:r>
            <w:r>
              <w:rPr>
                <w:rFonts w:ascii="仿宋_GB2312" w:hAnsi="仿宋_GB2312" w:cs="仿宋_GB2312" w:eastAsia="仿宋_GB2312"/>
                <w:sz w:val="24"/>
              </w:rPr>
              <w:t>每批次</w:t>
            </w:r>
            <w:r>
              <w:rPr>
                <w:rFonts w:ascii="仿宋_GB2312" w:hAnsi="仿宋_GB2312" w:cs="仿宋_GB2312" w:eastAsia="仿宋_GB2312"/>
                <w:sz w:val="24"/>
              </w:rPr>
              <w:t>应有卫生检疫合格</w:t>
            </w:r>
            <w:r>
              <w:rPr>
                <w:rFonts w:ascii="仿宋_GB2312" w:hAnsi="仿宋_GB2312" w:cs="仿宋_GB2312" w:eastAsia="仿宋_GB2312"/>
                <w:sz w:val="24"/>
              </w:rPr>
              <w:t>证明</w:t>
            </w:r>
            <w:r>
              <w:rPr>
                <w:rFonts w:ascii="仿宋_GB2312" w:hAnsi="仿宋_GB2312" w:cs="仿宋_GB2312" w:eastAsia="仿宋_GB2312"/>
                <w:sz w:val="24"/>
              </w:rPr>
              <w:t>。</w:t>
            </w:r>
            <w:r>
              <w:br/>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散装干货类质量：食品无任何破损、无挤压、无破碎、无异味、无任何表面附着物或衍生物，不掺假、不过期、不变味、无杂质、无毒无害，无霉变，符合国家食品卫生的有关规定，符合国家有关规定的放心食品。</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定量包装调味品食品须保证品牌、品种、内外包装规格与标注相符，是符合国家食品行业正规来源渠道的企业和品牌厂家生产的产品，出厂日期到收货日期间隔时间不得超出商品保质期限的三分之一，商品包装须有合格证及食品生产许可证编号和生产许可标识。必须抽样打开包装仔细检查，要求供方产品不掺假、不过期、不变质、不变味、无杂质、无毒害，货物净重量须与外包装标明的重量一致，符合国家食品行业的标准产品。且生产日期不得超过最长保质期的三分之一。</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水果须保证新鲜，无农药，无异味，无挤压、虫眼、过熟或欠熟，大小重量匀称等，表面无疤痕，果体光洁饱满。</w:t>
            </w:r>
          </w:p>
          <w:p>
            <w:pPr>
              <w:pStyle w:val="null3"/>
              <w:ind w:firstLine="560"/>
              <w:jc w:val="both"/>
            </w:pPr>
            <w:r>
              <w:rPr>
                <w:rFonts w:ascii="仿宋_GB2312" w:hAnsi="仿宋_GB2312" w:cs="仿宋_GB2312" w:eastAsia="仿宋_GB2312"/>
                <w:sz w:val="24"/>
              </w:rPr>
              <w:t>6.肉类验收要求：应为供应当天屠宰，不得预冷带冰。感官正常，表皮无病状，肌肉无积血，肉质色泽光润有弹性，应当卫生干净，不得沾染毛发污血或其它污染物，气味正常。脂肪有其固有色泽；票据标明生产地址、产品名称、生产日期、保质期，动物检疫合格证及肉品品质合格证明齐全。产品包装符合要求。</w:t>
            </w:r>
          </w:p>
          <w:p>
            <w:pPr>
              <w:pStyle w:val="null3"/>
              <w:ind w:firstLine="560"/>
              <w:jc w:val="both"/>
            </w:pPr>
            <w:r>
              <w:rPr>
                <w:rFonts w:ascii="仿宋_GB2312" w:hAnsi="仿宋_GB2312" w:cs="仿宋_GB2312" w:eastAsia="仿宋_GB2312"/>
                <w:sz w:val="24"/>
              </w:rPr>
              <w:t>7.水产类：</w:t>
            </w:r>
            <w:r>
              <w:rPr>
                <w:rFonts w:ascii="仿宋_GB2312" w:hAnsi="仿宋_GB2312" w:cs="仿宋_GB2312" w:eastAsia="仿宋_GB2312"/>
                <w:sz w:val="24"/>
              </w:rPr>
              <w:t>淡水鱼、虾类必须鲜活，且符合食品卫生相关标准及法规要求。冷冻品外包装需完整，无破损，无不封口现象，有生产日期。冻品在解冻后，发现质量问题需退货。</w:t>
            </w:r>
          </w:p>
          <w:p>
            <w:pPr>
              <w:pStyle w:val="null3"/>
              <w:ind w:firstLine="560"/>
              <w:jc w:val="both"/>
            </w:pPr>
            <w:r>
              <w:rPr>
                <w:rFonts w:ascii="仿宋_GB2312" w:hAnsi="仿宋_GB2312" w:cs="仿宋_GB2312" w:eastAsia="仿宋_GB2312"/>
                <w:sz w:val="24"/>
              </w:rPr>
              <w:t>8.</w:t>
            </w:r>
            <w:r>
              <w:rPr>
                <w:rFonts w:ascii="仿宋_GB2312" w:hAnsi="仿宋_GB2312" w:cs="仿宋_GB2312" w:eastAsia="仿宋_GB2312"/>
                <w:sz w:val="24"/>
              </w:rPr>
              <w:t>乙方配送食品原材料，必须按照食品安全卫生规定购置食用品，必须保证其产品质量，严禁购置腐烂、变质、过期的产品。对由于乙方提供不符合食品卫生标准的劣质食品，或出售任何变质和受污染的食品，造成甲方人员食物中毒</w:t>
            </w:r>
            <w:r>
              <w:rPr>
                <w:rFonts w:ascii="仿宋_GB2312" w:hAnsi="仿宋_GB2312" w:cs="仿宋_GB2312" w:eastAsia="仿宋_GB2312"/>
                <w:sz w:val="24"/>
              </w:rPr>
              <w:t>或其他食品安全事件</w:t>
            </w:r>
            <w:r>
              <w:rPr>
                <w:rFonts w:ascii="仿宋_GB2312" w:hAnsi="仿宋_GB2312" w:cs="仿宋_GB2312" w:eastAsia="仿宋_GB2312"/>
                <w:sz w:val="24"/>
              </w:rPr>
              <w:t>的，乙方承担全部责任，所产生的费用均由乙方承担。</w:t>
            </w:r>
          </w:p>
          <w:p>
            <w:pPr>
              <w:pStyle w:val="null3"/>
              <w:ind w:firstLine="560"/>
              <w:jc w:val="both"/>
            </w:pPr>
            <w:r>
              <w:rPr>
                <w:rFonts w:ascii="仿宋_GB2312" w:hAnsi="仿宋_GB2312" w:cs="仿宋_GB2312" w:eastAsia="仿宋_GB2312"/>
                <w:sz w:val="24"/>
              </w:rPr>
              <w:t>9.</w:t>
            </w:r>
            <w:r>
              <w:rPr>
                <w:rFonts w:ascii="仿宋_GB2312" w:hAnsi="仿宋_GB2312" w:cs="仿宋_GB2312" w:eastAsia="仿宋_GB2312"/>
                <w:sz w:val="24"/>
              </w:rPr>
              <w:t>原材料验收由甲方监督人员、餐厅管理人员、乙方配送人员三方，现场对食品配送质量的验收和数量的核对，每个品种的重量以双方核准的净重过磅数为准，三方签字确认作为结算凭证。</w:t>
            </w:r>
          </w:p>
          <w:p>
            <w:pPr>
              <w:pStyle w:val="null3"/>
              <w:jc w:val="both"/>
            </w:pPr>
            <w:r>
              <w:rPr>
                <w:rFonts w:ascii="仿宋_GB2312" w:hAnsi="仿宋_GB2312" w:cs="仿宋_GB2312" w:eastAsia="仿宋_GB2312"/>
                <w:sz w:val="28"/>
                <w:b/>
              </w:rPr>
              <w:t>五、商务要求</w:t>
            </w:r>
            <w:r>
              <w:rPr>
                <w:rFonts w:ascii="仿宋_GB2312" w:hAnsi="仿宋_GB2312" w:cs="仿宋_GB2312" w:eastAsia="仿宋_GB2312"/>
                <w:sz w:val="28"/>
                <w:b/>
              </w:rPr>
              <w:t>（</w:t>
            </w:r>
            <w:r>
              <w:rPr>
                <w:rFonts w:ascii="仿宋_GB2312" w:hAnsi="仿宋_GB2312" w:cs="仿宋_GB2312" w:eastAsia="仿宋_GB2312"/>
                <w:sz w:val="28"/>
                <w:b/>
              </w:rPr>
              <w:t>本项为实质性要求，不可负偏离</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4"/>
              </w:rPr>
              <w:t>（一）服务期限</w:t>
            </w:r>
            <w:r>
              <w:rPr>
                <w:rFonts w:ascii="仿宋_GB2312" w:hAnsi="仿宋_GB2312" w:cs="仿宋_GB2312" w:eastAsia="仿宋_GB2312"/>
                <w:sz w:val="24"/>
              </w:rPr>
              <w:t>：</w:t>
            </w:r>
            <w:r>
              <w:rPr>
                <w:rFonts w:ascii="仿宋_GB2312" w:hAnsi="仿宋_GB2312" w:cs="仿宋_GB2312" w:eastAsia="仿宋_GB2312"/>
                <w:sz w:val="24"/>
              </w:rPr>
              <w:t>1年。</w:t>
            </w:r>
          </w:p>
          <w:p>
            <w:pPr>
              <w:pStyle w:val="null3"/>
              <w:ind w:firstLine="560"/>
              <w:jc w:val="both"/>
            </w:pPr>
            <w:r>
              <w:rPr>
                <w:rFonts w:ascii="仿宋_GB2312" w:hAnsi="仿宋_GB2312" w:cs="仿宋_GB2312" w:eastAsia="仿宋_GB2312"/>
                <w:sz w:val="24"/>
              </w:rPr>
              <w:t>（二）款项结算</w:t>
            </w:r>
            <w:r>
              <w:rPr>
                <w:rFonts w:ascii="仿宋_GB2312" w:hAnsi="仿宋_GB2312" w:cs="仿宋_GB2312" w:eastAsia="仿宋_GB2312"/>
                <w:sz w:val="24"/>
              </w:rPr>
              <w:t>：</w:t>
            </w:r>
            <w:r>
              <w:rPr>
                <w:rFonts w:ascii="仿宋_GB2312" w:hAnsi="仿宋_GB2312" w:cs="仿宋_GB2312" w:eastAsia="仿宋_GB2312"/>
                <w:sz w:val="24"/>
              </w:rPr>
              <w:t>每</w:t>
            </w:r>
            <w:r>
              <w:rPr>
                <w:rFonts w:ascii="仿宋_GB2312" w:hAnsi="仿宋_GB2312" w:cs="仿宋_GB2312" w:eastAsia="仿宋_GB2312"/>
                <w:sz w:val="24"/>
              </w:rPr>
              <w:t>月</w:t>
            </w:r>
            <w:r>
              <w:rPr>
                <w:rFonts w:ascii="仿宋_GB2312" w:hAnsi="仿宋_GB2312" w:cs="仿宋_GB2312" w:eastAsia="仿宋_GB2312"/>
                <w:sz w:val="24"/>
              </w:rPr>
              <w:t>付款一次，根据</w:t>
            </w:r>
            <w:r>
              <w:rPr>
                <w:rFonts w:ascii="仿宋_GB2312" w:hAnsi="仿宋_GB2312" w:cs="仿宋_GB2312" w:eastAsia="仿宋_GB2312"/>
                <w:sz w:val="24"/>
              </w:rPr>
              <w:t>每月</w:t>
            </w:r>
            <w:r>
              <w:rPr>
                <w:rFonts w:ascii="仿宋_GB2312" w:hAnsi="仿宋_GB2312" w:cs="仿宋_GB2312" w:eastAsia="仿宋_GB2312"/>
                <w:sz w:val="24"/>
              </w:rPr>
              <w:t>配送</w:t>
            </w:r>
            <w:r>
              <w:rPr>
                <w:rFonts w:ascii="仿宋_GB2312" w:hAnsi="仿宋_GB2312" w:cs="仿宋_GB2312" w:eastAsia="仿宋_GB2312"/>
                <w:sz w:val="24"/>
              </w:rPr>
              <w:t>数量</w:t>
            </w:r>
            <w:r>
              <w:rPr>
                <w:rFonts w:ascii="仿宋_GB2312" w:hAnsi="仿宋_GB2312" w:cs="仿宋_GB2312" w:eastAsia="仿宋_GB2312"/>
                <w:sz w:val="24"/>
              </w:rPr>
              <w:t>金额据实支付至当月实际结算金额的95%（每次付款前，乙方均需提交付款申请书和等额合格发票，并经甲方审核）。</w:t>
            </w:r>
            <w:r>
              <w:rPr>
                <w:rFonts w:ascii="仿宋_GB2312" w:hAnsi="仿宋_GB2312" w:cs="仿宋_GB2312" w:eastAsia="仿宋_GB2312"/>
                <w:sz w:val="24"/>
              </w:rPr>
              <w:t>服务期满验收合格，绩效评价合格后，达到付款条件起30日内，支付剩余金额。</w:t>
            </w:r>
          </w:p>
          <w:p>
            <w:pPr>
              <w:pStyle w:val="null3"/>
              <w:ind w:firstLine="560"/>
              <w:jc w:val="both"/>
            </w:pPr>
            <w:r>
              <w:rPr>
                <w:rFonts w:ascii="仿宋_GB2312" w:hAnsi="仿宋_GB2312" w:cs="仿宋_GB2312" w:eastAsia="仿宋_GB2312"/>
                <w:sz w:val="24"/>
              </w:rPr>
              <w:t>(三）结算依据：供应商参照采购人附近大型商超（三家及以上）市场价取平均值作为基准价进行折扣后据实结算。当月供货结束后，由供应商核算食材数量及金额，报采购人审核。</w:t>
            </w:r>
          </w:p>
          <w:p>
            <w:pPr>
              <w:pStyle w:val="null3"/>
              <w:jc w:val="both"/>
            </w:pPr>
            <w:r>
              <w:rPr>
                <w:rFonts w:ascii="仿宋_GB2312" w:hAnsi="仿宋_GB2312" w:cs="仿宋_GB2312" w:eastAsia="仿宋_GB2312"/>
                <w:sz w:val="28"/>
                <w:b/>
              </w:rPr>
              <w:t>六、其他</w:t>
            </w:r>
            <w:r>
              <w:rPr>
                <w:rFonts w:ascii="仿宋_GB2312" w:hAnsi="仿宋_GB2312" w:cs="仿宋_GB2312" w:eastAsia="仿宋_GB2312"/>
                <w:sz w:val="28"/>
                <w:b/>
              </w:rPr>
              <w:t>（</w:t>
            </w:r>
            <w:r>
              <w:rPr>
                <w:rFonts w:ascii="仿宋_GB2312" w:hAnsi="仿宋_GB2312" w:cs="仿宋_GB2312" w:eastAsia="仿宋_GB2312"/>
                <w:sz w:val="28"/>
                <w:b/>
              </w:rPr>
              <w:t>本项为实质性要求，不可负偏离</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交货要求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若遇特殊情况，乙方能按采购人要求及时补货，应在</w:t>
            </w:r>
            <w:r>
              <w:rPr>
                <w:rFonts w:ascii="仿宋_GB2312" w:hAnsi="仿宋_GB2312" w:cs="仿宋_GB2312" w:eastAsia="仿宋_GB2312"/>
                <w:sz w:val="24"/>
              </w:rPr>
              <w:t>半</w:t>
            </w:r>
            <w:r>
              <w:rPr>
                <w:rFonts w:ascii="仿宋_GB2312" w:hAnsi="仿宋_GB2312" w:cs="仿宋_GB2312" w:eastAsia="仿宋_GB2312"/>
                <w:sz w:val="24"/>
              </w:rPr>
              <w:t>小时内送达。</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.未经过甲方同意提前或推迟送货，甲方有权拒绝验收签单。</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.乙方未能提供相关清单和检验报告等证明材料，甲方有权拒绝验收签单。</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.规格包装的产品交付时，必须原包装完好无破损，否则甲方有权拒收。</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乙方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乙方按规定进入配送地点的配送人员及运输工具，必须接受甲方统一管理，否则发生问题，由乙方承担责任。</w:t>
            </w:r>
          </w:p>
          <w:p>
            <w:pPr>
              <w:pStyle w:val="null3"/>
              <w:ind w:firstLine="560"/>
              <w:jc w:val="both"/>
            </w:pPr>
            <w:r>
              <w:rPr>
                <w:rFonts w:ascii="仿宋_GB2312" w:hAnsi="仿宋_GB2312" w:cs="仿宋_GB2312" w:eastAsia="仿宋_GB2312"/>
                <w:sz w:val="24"/>
              </w:rPr>
              <w:t>6</w:t>
            </w:r>
            <w:r>
              <w:rPr>
                <w:rFonts w:ascii="仿宋_GB2312" w:hAnsi="仿宋_GB2312" w:cs="仿宋_GB2312" w:eastAsia="仿宋_GB2312"/>
                <w:sz w:val="24"/>
              </w:rPr>
              <w:t>.应急保障方案：</w:t>
            </w:r>
            <w:r>
              <w:rPr>
                <w:rFonts w:ascii="仿宋_GB2312" w:hAnsi="仿宋_GB2312" w:cs="仿宋_GB2312" w:eastAsia="仿宋_GB2312"/>
                <w:sz w:val="24"/>
              </w:rPr>
              <w:t>供应商应</w:t>
            </w:r>
            <w:r>
              <w:rPr>
                <w:rFonts w:ascii="仿宋_GB2312" w:hAnsi="仿宋_GB2312" w:cs="仿宋_GB2312" w:eastAsia="仿宋_GB2312"/>
                <w:sz w:val="24"/>
              </w:rPr>
              <w:t>提供自然灾害、公共卫生事件、</w:t>
            </w:r>
            <w:r>
              <w:rPr>
                <w:rFonts w:ascii="仿宋_GB2312" w:hAnsi="仿宋_GB2312" w:cs="仿宋_GB2312" w:eastAsia="仿宋_GB2312"/>
                <w:sz w:val="24"/>
              </w:rPr>
              <w:t>紧急供货</w:t>
            </w:r>
            <w:r>
              <w:rPr>
                <w:rFonts w:ascii="仿宋_GB2312" w:hAnsi="仿宋_GB2312" w:cs="仿宋_GB2312" w:eastAsia="仿宋_GB2312"/>
                <w:sz w:val="24"/>
              </w:rPr>
              <w:t>等情况下的应急保障方案。</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原材料供应责任</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原材料乙方须保证所供原材料均为符合国家卫生、质量检验标准的正规产品，保证配送品种完全满足招标方要求，所有原材料每日均留存样品一份，保存时间为</w:t>
            </w:r>
            <w:r>
              <w:rPr>
                <w:rFonts w:ascii="仿宋_GB2312" w:hAnsi="仿宋_GB2312" w:cs="仿宋_GB2312" w:eastAsia="仿宋_GB2312"/>
                <w:sz w:val="24"/>
              </w:rPr>
              <w:t>36小时，确认期间无任何食品安全问题后丢弃。</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原材料没有按时按要求配送到位，影响甲方员工餐厅正常开餐的，以当日需求计划总量两倍价款赔付当日损失，同时招甲方将对责任原材料乙方进行处罚。</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原材料在验收时发现有质量问题和不符合要求的，一律退回，乙方无条件重新更换配送菜品，更换后仍然不符合标准的，甲方有权对乙方处以一定金额的罚款。并根据情节轻重作出相应处罚。处罚金在货款中扣除。</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任何因原材料质量问题导致的食品安全或食物中毒责任，在确认因原材料品种引发出现问题导致的，由该乙方承担全部法律责任和所造成的一切经济损失赔偿责任，除对甲方进行赔付外，甲方有权单方终止合同。</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甲方餐厅经营模式发生变化或有政策变化，甲方有权单方终止合同。</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雁塔区政务服务中心，采购人指定地点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蔬菜类质量验收：安全、新鲜、放心的优质菜品。必须无黄叶，枯死叶，无虫，无杂质，色泽鲜亮，水分充足叶面饱满。原菜须保证菜面干净，无明显泥土，码放整齐，无破损，大小基本统一，不得过熟，净菜须保证菜面完全干净，无泥土，按统一标准加工，码放整齐。乙方必须每天提供所供蔬菜的农药残留检测报告。 2.禽蛋类须新鲜，不超过三日以上产品，大小均匀，外壳无破裂，光洁饱满的产品，周转箱堆放。每批次应有卫生检疫合格证明。 3.散装干货类质量：食品无任何破损、无挤压、无破碎、无异味、无任何表面附着物或衍生物，不掺假、不过期、不变味、无杂质、无毒无害，无霉变，符合国家食品卫生的有关规定，符合国家有关规定的放心食品。 4.定量包装调味品食品须保证品牌、品种、内外包装规格与标注相符，是符合国家食品行业正规来源渠道的企业和品牌厂家生产的产品，出厂日期到收货日期间隔时间不得超出商品保质期限的三分之一，商品包装须有合格证及食品生产许可证编号和生产许可标识。必须抽样打开包装仔细检查，要求供方产品不掺假、不过期、不变质、不变味、无杂质、无毒害，货物净重量须与外包装标明的重量一致，符合国家食品行业的标准产品。且生产日期不得超过最长保质期的三分之一。 5.水果须保证新鲜，无农药，无异味，无挤压、虫眼、过熟或欠熟，大小重量匀称等，表面无疤痕，果体光洁饱满。 6.肉类验收要求：应为供应当天屠宰，不得预冷带冰。感官正常，表皮无病状，肌肉无积血，肉质色泽光润有弹性，应当卫生干净，不得沾染毛发污血或其它污染物，气味正常。脂肪有其固有色泽；票据标明生产地址、产品名称、生产日期、保质期，动物检疫合格证及肉品品质合格证明齐全。产品包装符合要求。 7.水产类：淡水鱼、虾类必须鲜活，且符合食品卫生相关标准及法规要求。冷冻品外包装需完整，无破损，无不封口现象，有生产日期。冻品在解冻后，发现质量问题需退货。 8.乙方配送食品原材料，必须按照食品安全卫生规定购置食用品，必须保证其产品质量，严禁购置腐烂、变质、过期的产品。对由于乙方提供不符合食品卫生标准的劣质食品，或出售任何变质和受污染的食品，造成甲方人员食物中毒或其他食品安全事件的，乙方承担全部责任，所产生的费用均由乙方承担。 9.原材料验收由甲方监督人员、餐厅管理人员、乙方配送人员三方，现场对食品配送质量的验收和数量的核对，每个品种的重量以双方核准的净重过磅数为准，三方签字确认作为结算凭证。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每月付款一次，根据每月配送数量金额据实支付至当月实际结算金额的95%（每次付款前，乙方均需提交付款申请书和等额合格发票，并经甲方审核）</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绩效评价合格后，支付累计剩余金额。（付款前，乙方需提交付款申请书和等额合格发票，并经甲方审核；因政府采购综合管理平台系统设置，本项目条款中支付比例基础为当月据实结算金额，并非合同总金额。“达到付款条件起30日内，支付合同总金额的5.20%；达到付款条件起20日内，支付合同总金额的7.90%”——该句可忽略，没有任何实际效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5.20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中标供应商需在领取中标通知书之前线下提交投标文件正本壹套、副本贰套。若电子投标文件与纸质投标文件不一致的，以电子投标文件为准。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或2025年度经审计的财务报告或在2025年6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或2025年度经审计的财务报告或在2025年6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有依法缴纳税收和社会保障资金的良好记录：提供时间在2025年6月1日至今任意一个月的缴纳证明；供应商需在项目电子化交易系统中按要求上传相应证明文件并进行电子签章。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应具备有效的食品经营许可证；②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投标，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的必备资格要求，资格证明文件无效或缺项的响应文件按无效文件处理；（2）分支机构参与投标时，须提供分支机构符合资格要求的证明文件；（3）书面声明、法定代表人身份证明和法定代表人授权委托书应按采购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投标文件语言及有效期是否符合招标文件要求</w:t>
            </w:r>
          </w:p>
        </w:tc>
        <w:tc>
          <w:tcPr>
            <w:tcW w:type="dxa" w:w="1661"/>
          </w:tcPr>
          <w:p>
            <w:pPr>
              <w:pStyle w:val="null3"/>
            </w:pPr>
            <w:r>
              <w:rPr>
                <w:rFonts w:ascii="仿宋_GB2312" w:hAnsi="仿宋_GB2312" w:cs="仿宋_GB2312" w:eastAsia="仿宋_GB2312"/>
              </w:rPr>
              <w:t>技术方案.docx 业绩.docx 投标函 中小企业声明函 残疾人福利性单位声明函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投标文件是否符合招标文件签字、盖章要求</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投标文件是否符合下列要求： （1）投标报价符合唯一性要求；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开标一览表（填报下浮）.docx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要求全面响应，符合招标文件相关要求；不能有任何采购人不能接受的附加条件。</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技术方案.docx 业绩.docx 投标函 中小企业声明函 残疾人福利性单位声明函 投标文件封面 服务内容及服务邀请应答表.docx 商务应答表.docx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针对本项目需求编制质量控制方案，包括①食材的质量追溯、②供应商对食材选定及标准、③食材配送质量控制方案、④食材运输质量控制方案、⑤交货验收标准控制方案。 二、评审标准 1、完整性：方案和措施须全面，对评审内容中的各项要求有详细描述； 2、可实施性：切合本项目实际情况，方案和措施实施步骤清晰、合理； 3、针对性：方案和措施能够紧扣项目实际情况，内容科学合理。 三、赋分标准（满分15分） 每小项：每完全满足一个评审标准得1分，每小项满分3分；共5小项，满分15分。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针对本项目需求编制人员配备方案，包括①组织架构建立、②人员整体能力水平及配备情况、③岗位职责设置、④资质水平及从业年限。 二、评审标准 1、完整性：方案须全面，对评审内容中的各项要求有详细描述； 2、可实施性：切合本项目实际情况，实施步骤清晰、合理； 3、针对性：方案能够紧扣项目实际情况，内容科学合理。 三、赋分标准（满分12分） 每小项：每完全满足一个评审标准得1分，每小项满分3分；共4小项，满分12分。 注：人员须附身份证明及健康证（其中配送人员还须附驾驶证）。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 针对本项目需求编制配送方案，包括①配送安全（包含但不限于车辆及配送人员的安全，货物的安全等内容）、②配送时间（包含但不限于全流程的时间安排、应急情况的处理等内容）、③配送流程（包含但不限于收单、配货、运输、交验、发放、与采购人有效沟通等内容）。 二、评审标准 1、完整性：方案须全面，对评审内容中的各项要求有详细描述； 2、可实施性：切合本项目实际情况，实施步骤清晰、合理； 3、针对性：方案能够紧扣项目实际情况，内容科学合理。 三、赋分标准（满分9分） 每小项：每完全满足一个评审标准得1分，每小项满分3分；共3小项，满分9分。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根据供应商针对本项目提供的符合要求的运输配送车辆，提供自有或租赁车辆证明材料，每有一辆计2分，最高计4分（至少包含一辆冷藏车）。 注：所有车辆需提供正面照片、车辆登记证书、行驶证，租赁车辆还须提供车辆租赁协议等相关证明文件。未提供不得分。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食品安全及储存条件</w:t>
            </w:r>
          </w:p>
        </w:tc>
        <w:tc>
          <w:tcPr>
            <w:tcW w:type="dxa" w:w="2492"/>
          </w:tcPr>
          <w:p>
            <w:pPr>
              <w:pStyle w:val="null3"/>
            </w:pPr>
            <w:r>
              <w:rPr>
                <w:rFonts w:ascii="仿宋_GB2312" w:hAnsi="仿宋_GB2312" w:cs="仿宋_GB2312" w:eastAsia="仿宋_GB2312"/>
              </w:rPr>
              <w:t>供应商针对本项目具有①产品储藏和储存场所，②储藏和储存场所干净整洁。 注：提供场地的证明材料，包括租赁合同或购房合同、储存场所照片及相应储存设备购置发票或现场实地设备照片证明材料。每一项供应商提供的证明材料齐全得2分，否则不得分，满分4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合法来源渠道证明文件</w:t>
            </w:r>
          </w:p>
        </w:tc>
        <w:tc>
          <w:tcPr>
            <w:tcW w:type="dxa" w:w="2492"/>
          </w:tcPr>
          <w:p>
            <w:pPr>
              <w:pStyle w:val="null3"/>
            </w:pPr>
            <w:r>
              <w:rPr>
                <w:rFonts w:ascii="仿宋_GB2312" w:hAnsi="仿宋_GB2312" w:cs="仿宋_GB2312" w:eastAsia="仿宋_GB2312"/>
              </w:rPr>
              <w:t>产品进货渠道正常，提供所投产品(蔬菜类、水果类、肉类、蛋类、水产类、干调类、饮品类（每个种类提供一个产品即可）)来源渠道合法的证明文件（包括但不限于销售协议/代理协议/原厂授权/其他证明材料等），所提供的产品来源渠证明文件齐全完整，每提供一类产品资料得1分，满分7分，未提供或提供不完整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针对本项目需求编制应急处置方案，包括①针对自然灾害、恶劣天气影响、②重大节假日、活动及日常的紧急供货、③问题食材更换等特殊情况、④公共卫生事件、⑤食材安全突发事件应急响应。 二、评审标准 1、完整性：方案须全面，对评审内容中的各项要求有详细描述； 2、可实施性：切合本项目实际情况，实施步骤清晰、合理； 3、针对性：方案能够紧扣项目实际情况，内容科学合理。 三、赋分标准（满分15分） 每小项：每完全满足一个评审标准得1 分，每小项满分3分；共5小项，满分15分。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针对本项目需求编制售后服务方案，包括①食品保鲜、②出现质量问题退换货、③食品安全保证、④配送时限保证。 二、评审标准 1、完整性：方案须全面，对评审内容中的各项要求有详细描述； 2、可实施性：切合本项目实际情况，实施步骤清晰、合理； 3、针对性：方案能够紧扣项目实际情况，内容科学合理。 三、赋分标准（满分12分） 每小项：每完全满足一个评审标准得1 分，每小项满分3分；共4小项，满分12分。 备注：完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根据供应商提供的针对本项目的服务承诺,包含①食品安全保障的承诺，②与采购人积极配合保障配送及时、响应及时的承诺。每有一项有效承诺计1分，满分2分，未提供不得分。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根据供应商近三年（2023年1月1日至投标截止时间前，以合同或协议签字日期为准）类似项目业绩，有1项业绩得2分，最高得10分。 注：需提供服务合同或协议书的复印件作为证明材料，否则不予认可。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报价得分＝（评标基准价/投标报价）×10（注：满足招标文件要求且投标价格最高的下浮率为评标基准价。）最高下浮不是中标的唯一依据。【注：满足招标文件要求且报价最高（相当于投标价格最低）的为评标基准价。如：投标报价60%为报价最高，评标基准价为 1-60%=40%，得满分 10 分；有投标报价为 50%，投标报价为 1-50%=50%；以此类推。】因落实政府采购政策进行价格调整的，以调整后的价格计算评标基准价和投标报价。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开标一览表（填报下浮）.docx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详见附件：开标一览表（填报下浮）.docx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详见附件：（食材）合同模板.docx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