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版本号：SXZY-2026-ZC-115420260119001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大雁塔中队办公房屋租赁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SXZY-2026-ZC-1154</w:t>
      </w:r>
      <w:r>
        <w:br/>
      </w:r>
      <w:r>
        <w:br/>
      </w:r>
      <w:r>
        <w:br/>
      </w:r>
    </w:p>
    <w:p>
      <w:pPr>
        <w:pStyle w:val="null3"/>
        <w:jc w:val="center"/>
        <w:outlineLvl w:val="5"/>
      </w:pPr>
      <w:r>
        <w:rPr>
          <w:rFonts w:ascii="仿宋_GB2312" w:hAnsi="仿宋_GB2312" w:cs="仿宋_GB2312" w:eastAsia="仿宋_GB2312"/>
          <w:sz w:val="15"/>
          <w:b/>
        </w:rPr>
        <w:t>西安市雁塔区城市管理和综合执法局</w:t>
      </w:r>
    </w:p>
    <w:p>
      <w:pPr>
        <w:pStyle w:val="null3"/>
        <w:jc w:val="center"/>
        <w:outlineLvl w:val="5"/>
      </w:pPr>
      <w:r>
        <w:rPr>
          <w:rFonts w:ascii="仿宋_GB2312" w:hAnsi="仿宋_GB2312" w:cs="仿宋_GB2312" w:eastAsia="仿宋_GB2312"/>
          <w:sz w:val="15"/>
          <w:b/>
        </w:rPr>
        <w:t>陕西中仪项目管理有限公司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陕西中仪项目管理有限公司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大雁塔中队办公房屋租赁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SXZY-2026-ZC-1154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大雁塔中队办公房屋租赁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房屋位于西安市雁塔区乐游东路1号二楼，计租建筑面积约850.00平方米；房屋的主体、结构安全，装修、消防、水、电、上下楼梯（电梯）等相关配套情况齐全，满足采购人进行城市管理办公活动；其他相关服务符合国家、省、市（行业）强制性标准及采购人要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采购包1（大雁塔中队办公房屋租赁）：属于专门面向中小企业采购。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主要负责人）委托代理人参加协商时，应提供法定代表人（主要负责人）身份证明书及法定代表人（主要负责人）委托授权书；法定代表人（主要负责人）亲自参加协商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2、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西安市雁塔区东仪路3号东仪厂院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西安市雁塔区城市管理和综合执法局经办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029-88242103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陕西省西安市曲江新区曲江池西路369号34幢10101室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029-85500589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成交单位在领取成交通知书前，须向采购代理机构一次性支付代理服务费。户名：陕西中仪项目管理有限公司 开户行：中国银行股份有限公司西安雁展路支行 账号：102496214855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陕西中仪项目管理有限公司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合格（符合国家（行业）强制性标准及采购人要求）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房屋位于西安市雁塔区乐游东路1号二楼，计租建筑面积约850.00平方米；房屋的主体、结构安全，装修、消防、水、电、上下楼梯（电梯）等相关配套情况齐全，满足采购人进行城市管理办公活动；其他相关服务符合国家、省、市（行业）强制性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大雁塔中队办公用房租赁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标的名称：大雁塔中队办公用房租赁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一、服务内容及要求</w:t>
            </w:r>
          </w:p>
          <w:p>
            <w:pPr>
              <w:pStyle w:val="null3"/>
            </w:pPr>
            <w:r>
              <w:rPr>
                <w:rFonts w:ascii="仿宋_GB2312" w:hAnsi="仿宋_GB2312" w:cs="仿宋_GB2312" w:eastAsia="仿宋_GB2312"/>
              </w:rPr>
              <w:t>1.1服务内容</w:t>
            </w:r>
          </w:p>
          <w:p>
            <w:pPr>
              <w:pStyle w:val="null3"/>
              <w:ind w:firstLine="200"/>
            </w:pPr>
            <w:r>
              <w:rPr>
                <w:rFonts w:ascii="仿宋_GB2312" w:hAnsi="仿宋_GB2312" w:cs="仿宋_GB2312" w:eastAsia="仿宋_GB2312"/>
              </w:rPr>
              <w:t>（1）提供符合采购人进行城市管理办公活动所需的建筑面积；</w:t>
            </w:r>
          </w:p>
          <w:p>
            <w:pPr>
              <w:pStyle w:val="null3"/>
              <w:ind w:firstLine="200"/>
            </w:pPr>
            <w:r>
              <w:rPr>
                <w:rFonts w:ascii="仿宋_GB2312" w:hAnsi="仿宋_GB2312" w:cs="仿宋_GB2312" w:eastAsia="仿宋_GB2312"/>
              </w:rPr>
              <w:t>（2）房屋主体与框架安全可靠无任何安全隐患；</w:t>
            </w:r>
          </w:p>
          <w:p>
            <w:pPr>
              <w:pStyle w:val="null3"/>
              <w:ind w:firstLine="200"/>
            </w:pPr>
            <w:r>
              <w:rPr>
                <w:rFonts w:ascii="仿宋_GB2312" w:hAnsi="仿宋_GB2312" w:cs="仿宋_GB2312" w:eastAsia="仿宋_GB2312"/>
              </w:rPr>
              <w:t>（3）房屋主体的装修、消防、水、电、上下楼梯（电梯）等相关配套情况完善。</w:t>
            </w:r>
          </w:p>
          <w:p>
            <w:pPr>
              <w:pStyle w:val="null3"/>
            </w:pPr>
            <w:r>
              <w:rPr>
                <w:rFonts w:ascii="仿宋_GB2312" w:hAnsi="仿宋_GB2312" w:cs="仿宋_GB2312" w:eastAsia="仿宋_GB2312"/>
              </w:rPr>
              <w:t>1.2服务要求：</w:t>
            </w:r>
          </w:p>
          <w:p>
            <w:pPr>
              <w:pStyle w:val="null3"/>
              <w:ind w:firstLine="200"/>
            </w:pPr>
            <w:r>
              <w:rPr>
                <w:rFonts w:ascii="仿宋_GB2312" w:hAnsi="仿宋_GB2312" w:cs="仿宋_GB2312" w:eastAsia="仿宋_GB2312"/>
              </w:rPr>
              <w:t>（1）指派专属人员与采购人联系服务事宜，服务响应时间应根据采购人实际安排随时调整；</w:t>
            </w:r>
          </w:p>
          <w:p>
            <w:pPr>
              <w:pStyle w:val="null3"/>
              <w:ind w:firstLine="200"/>
            </w:pPr>
            <w:r>
              <w:rPr>
                <w:rFonts w:ascii="仿宋_GB2312" w:hAnsi="仿宋_GB2312" w:cs="仿宋_GB2312" w:eastAsia="仿宋_GB2312"/>
              </w:rPr>
              <w:t>（2）对所租赁房屋享有合法产权或经营权长期使用权，确保采购人在租赁期内享有合法的使用权益；</w:t>
            </w:r>
          </w:p>
          <w:p>
            <w:pPr>
              <w:pStyle w:val="null3"/>
              <w:ind w:firstLine="200"/>
            </w:pPr>
            <w:r>
              <w:rPr>
                <w:rFonts w:ascii="仿宋_GB2312" w:hAnsi="仿宋_GB2312" w:cs="仿宋_GB2312" w:eastAsia="仿宋_GB2312"/>
              </w:rPr>
              <w:t>（3）定期对房屋主体与框架、结构、消防等进行正常的检修、维修；</w:t>
            </w:r>
          </w:p>
          <w:p>
            <w:pPr>
              <w:pStyle w:val="null3"/>
              <w:ind w:firstLine="200"/>
            </w:pPr>
            <w:r>
              <w:rPr>
                <w:rFonts w:ascii="仿宋_GB2312" w:hAnsi="仿宋_GB2312" w:cs="仿宋_GB2312" w:eastAsia="仿宋_GB2312"/>
              </w:rPr>
              <w:t>（4）确保所出租的房屋主体的装修、消防、水、电、上下楼梯（电梯）等相关配套情况接入和完善服务。</w:t>
            </w:r>
          </w:p>
          <w:p>
            <w:pPr>
              <w:pStyle w:val="null3"/>
              <w:ind w:firstLine="200"/>
            </w:pPr>
            <w:r>
              <w:rPr>
                <w:rFonts w:ascii="仿宋_GB2312" w:hAnsi="仿宋_GB2312" w:cs="仿宋_GB2312" w:eastAsia="仿宋_GB2312"/>
              </w:rPr>
              <w:t>（5）如有属于在本次房屋租赁配套服务范畴内（如配套的电梯、停车场、卫生间、绿化区等）的权利，管理权需交由采购人实行统一管理；</w:t>
            </w:r>
          </w:p>
          <w:p>
            <w:pPr>
              <w:pStyle w:val="null3"/>
              <w:ind w:firstLine="200"/>
            </w:pPr>
            <w:r>
              <w:rPr>
                <w:rFonts w:ascii="仿宋_GB2312" w:hAnsi="仿宋_GB2312" w:cs="仿宋_GB2312" w:eastAsia="仿宋_GB2312"/>
              </w:rPr>
              <w:t>（6）负责协调解决租赁房屋周边因服务方原因而产生的争吵、纠纷或其他可能影响采购人正常进行办公所出现的相关事宜。</w:t>
            </w:r>
          </w:p>
          <w:p>
            <w:pPr>
              <w:pStyle w:val="null3"/>
              <w:ind w:firstLine="200"/>
            </w:pPr>
            <w:r>
              <w:rPr>
                <w:rFonts w:ascii="仿宋_GB2312" w:hAnsi="仿宋_GB2312" w:cs="仿宋_GB2312" w:eastAsia="仿宋_GB2312"/>
              </w:rPr>
              <w:t>（7）所有服务方人员（包括服务方所聘第三方人员）进入采购人租赁的区域时必须经采购人同意，服从采购人管理和要求，未经采购人许可，不得擅自靠近或者进入其他未经许可的区域；</w:t>
            </w:r>
          </w:p>
          <w:p>
            <w:pPr>
              <w:pStyle w:val="null3"/>
              <w:ind w:firstLine="200"/>
            </w:pPr>
            <w:r>
              <w:rPr>
                <w:rFonts w:ascii="仿宋_GB2312" w:hAnsi="仿宋_GB2312" w:cs="仿宋_GB2312" w:eastAsia="仿宋_GB2312"/>
              </w:rPr>
              <w:t>（8）所有服务方人员（包括服务方所聘第三方人员）进入采购人租赁的区域时应严格遵守采购人单位的各种管理规定及规章制度，做到安全文明；服务方派遣的服务方人员（包括服务方所聘第三方人员）对于在工作中获悉的一切政府工作的信息应严格保守秘密，不得泄露；对于违反者，给采购人单位造成不良社会影响的，或给采购人单位造成损失的，由服务方承担赔偿责任。</w:t>
            </w:r>
          </w:p>
          <w:p>
            <w:pPr>
              <w:pStyle w:val="null3"/>
            </w:pPr>
            <w:r>
              <w:rPr>
                <w:rFonts w:ascii="仿宋_GB2312" w:hAnsi="仿宋_GB2312" w:cs="仿宋_GB2312" w:eastAsia="仿宋_GB2312"/>
              </w:rPr>
              <w:t>（9）严格按照国家、陕西省、西安市有关规定进行此次租赁活动，不得随意更改或者变换房屋租赁及配套服务内容，如非因政策或者其他不可抗力情况而必须进行更改或者变换，实施前应事先取得采购人的落实同意。</w:t>
            </w:r>
          </w:p>
          <w:p>
            <w:pPr>
              <w:pStyle w:val="null3"/>
              <w:ind w:firstLine="200"/>
            </w:pPr>
            <w:r>
              <w:rPr>
                <w:rFonts w:ascii="仿宋_GB2312" w:hAnsi="仿宋_GB2312" w:cs="仿宋_GB2312" w:eastAsia="仿宋_GB2312"/>
              </w:rPr>
              <w:t>1.3质量标准及要求</w:t>
            </w:r>
          </w:p>
          <w:p>
            <w:pPr>
              <w:pStyle w:val="null3"/>
              <w:ind w:firstLine="200"/>
            </w:pPr>
            <w:r>
              <w:rPr>
                <w:rFonts w:ascii="仿宋_GB2312" w:hAnsi="仿宋_GB2312" w:cs="仿宋_GB2312" w:eastAsia="仿宋_GB2312"/>
              </w:rPr>
              <w:t>（1）各项服务符合国家、省、市（行业）强制性标准及采购人要求的合格标准；</w:t>
            </w:r>
          </w:p>
          <w:p>
            <w:pPr>
              <w:pStyle w:val="null3"/>
              <w:ind w:firstLine="200"/>
            </w:pPr>
            <w:r>
              <w:rPr>
                <w:rFonts w:ascii="仿宋_GB2312" w:hAnsi="仿宋_GB2312" w:cs="仿宋_GB2312" w:eastAsia="仿宋_GB2312"/>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p>
          <w:p>
            <w:pPr>
              <w:pStyle w:val="null3"/>
            </w:pPr>
            <w:r>
              <w:rPr>
                <w:rFonts w:ascii="仿宋_GB2312" w:hAnsi="仿宋_GB2312" w:cs="仿宋_GB2312" w:eastAsia="仿宋_GB2312"/>
                <w:sz w:val="21"/>
                <w:b/>
              </w:rPr>
              <w:t>二、其他要求或说明</w:t>
            </w:r>
          </w:p>
          <w:p>
            <w:pPr>
              <w:pStyle w:val="null3"/>
            </w:pPr>
            <w:r>
              <w:rPr>
                <w:rFonts w:ascii="仿宋_GB2312" w:hAnsi="仿宋_GB2312" w:cs="仿宋_GB2312" w:eastAsia="仿宋_GB2312"/>
              </w:rPr>
              <w:t xml:space="preserve">       本项目所属行业为:</w:t>
            </w:r>
            <w:r>
              <w:rPr>
                <w:rFonts w:ascii="仿宋_GB2312" w:hAnsi="仿宋_GB2312" w:cs="仿宋_GB2312" w:eastAsia="仿宋_GB2312"/>
                <w:b/>
              </w:rPr>
              <w:t>租赁和商务服务业</w:t>
            </w:r>
            <w:r>
              <w:rPr>
                <w:rFonts w:ascii="仿宋_GB2312" w:hAnsi="仿宋_GB2312" w:cs="仿宋_GB2312" w:eastAsia="仿宋_GB2312"/>
              </w:rPr>
              <w:t>（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服务方按项目服务要求及特性，自行组织实施与管理，建立以负责人为核心的履行合同所必需人员团队，相关人员经过严格培训，有相关工作经验，能够胜任项目工作，保证项目顺利实施。</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服务方根据项目采购项目特性及要求，自行配置投入履行合同所必需的各类设施设备（不限于专业设备、辅助设备、工具、软件等）及场所，保证项目顺利实施。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西安市雁塔区乐游东路1号二楼</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等规章制度是项目验收的重要依据，采购人按照国家、省、市（行业）强制性标准及合同约定对服务方所租赁的房屋及其他相关配套服务进行检查或验收；如房屋主体存在安全隐患或其他相关配套服务无法达到采购人要求或在执行中出现采购人无法容忍的缺陷，服务方须在采购人规定的期限内完成整改；若服务方在接受检查整改后，仍不能提供符合租赁要求的房屋及其他相关配套服务或出现弄虚作假行为或发生重大安全事故，采购人有权按违约予以撤项，由此产生的一切不利后果由服务方负责。</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详见合同相应条款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1、服务范围：大雁塔中队办公房屋租赁。 2、服务标准：合格（符合国家（行业）强制性标准及采购人要求）。 3、供应商所报的价格应考虑到可能发生的所有与完成本项目相关服务及履行合同义务有关的一切费用（含税），任何有选择的报价将不予接受，按无效响应处理。 4、成交供应商在领取成交通知书前，需向采购代理机构提交加盖公章的纸质版响应文件三套，成交供应商应保持响应文件纸质版内容与系统上传内容完全一致，否则将承担一切法律责任。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2.社保资金缴纳证明：提交社保资金所属日期在递交响应文件截止时间前一年内任意一个月的社会保障资金缴存单据或社保机构开具的社会保险参保缴费情况证明，单据或证明上应有社保机构或代收机构的公章或业务专用章。供应商需在项目电子化交易系统中按要求上传相应证明文件并进行电子签章。 3.税收缴纳证明：提交税款所属日期在递交响应文件截止时间前一年内任意一个月的纳税证明或完税证明，纳税证明或完税证明上应有代收机构或税务机关的公章或业务专用章。供应商需在项目电子化交易系统中按要求上传相应证明文件并进行电子签章。 4.无重大违法记录声明：参加政府采购活动前3年内在经营活动中没有重大违法记录的书面声明。供应商需在项目电子化交易系统中按要求填写《响应函》完成承诺并进行电子签章。 5.履约能力承诺：提交具有履行合同所必需的设备和专业技术能力的承诺函。供应商需在项目电子化交易系统中按要求填写《响应函》完成承诺并进行电子签章。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关于财务会计制度的证明材料①和②任选其一： ①可提供2023或2024年度经审计的具有赋码查验功能的财务报告（包含审计报告和审计报告中所涉及的财务报表和报表附注）； ②可提供截至响应文件提交截止日前六个月内开户银行出具的资信证明（附基本存款账户信息）； 注：供应商注册时间截至响应文件提交截止日不足一年的，可提供成立后任意时段的资产负债表。供应商需在项目电子化交易系统中按要求上传相应证明文件并进行电子签章。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协商时，应提供法定代表人（主要负责人）身份证明书及法定代表人（主要负责人）委托授权书；法定代表人（主要负责人）亲自参加协商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响应文件内容应全面响应采购文件要求，且无未实质性响应及无效标的情形。</w:t>
            </w:r>
          </w:p>
        </w:tc>
        <w:tc>
          <w:tcPr>
            <w:tcW w:type="dxa" w:w="1661"/>
          </w:tcPr>
          <w:p>
            <w:pPr>
              <w:pStyle w:val="null3"/>
            </w:pPr>
            <w:r>
              <w:rPr>
                <w:rFonts w:ascii="仿宋_GB2312" w:hAnsi="仿宋_GB2312" w:cs="仿宋_GB2312" w:eastAsia="仿宋_GB2312"/>
              </w:rPr>
              <w:t>商务响应偏离表 技术（服务）方案说明书 供应商承诺书 合同条款响应偏离表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评审小组认为供应商投标（响应）报价明显有悖于市场行情规律，有恶意成交嫌隙或可能影响服务（产品）质量或者不能诚信履约的，评审小组应当要求其在合理的时间内在项目电子化交易系统中上传说明材料，必要时提交相关证明材料。供应商提交的相关证明材料，应当加盖供应商（法定名称）电子印章，在评审小组要求的时间内通过项目电子化交易系统进行提交，否则提交的相关证明材料无效。供应商不能证明其投标（响应）合理性的，评审小组应当将其投标（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1.供应商名称与营业执照一致。 2.供应商响应有效期自提交响应文件截止之日起不少于90天。 3.只能有一个有效报价。 4.服务期限满足采购文件要求。 5.签字盖章满足采购文件要求。</w:t>
            </w:r>
          </w:p>
        </w:tc>
        <w:tc>
          <w:tcPr>
            <w:tcW w:type="dxa" w:w="1661"/>
          </w:tcPr>
          <w:p>
            <w:pPr>
              <w:pStyle w:val="null3"/>
            </w:pPr>
            <w:r>
              <w:rPr>
                <w:rFonts w:ascii="仿宋_GB2312" w:hAnsi="仿宋_GB2312" w:cs="仿宋_GB2312" w:eastAsia="仿宋_GB2312"/>
              </w:rPr>
              <w:t>商务响应偏离表 中小企业声明函 资格证明材料 报价表 合同条款响应偏离表 响应文件封面 其他资料 残疾人福利性单位声明函 技术（服务）方案说明书 标的清单 供应商承诺书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