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版本号：RCZB-2026-012020260120001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雁塔区2023年杜城片区补充用地市政项目EPC工程总承包、雁塔区宜家天桥建设工程EPC总承包结算审核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RCZB-2026-0120</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雁塔区2023年杜城片区补充用地市政项目EPC工程总承包、雁塔区宜家天桥建设工程EPC总承包结算审核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RCZB-2026-0120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雁塔区2023年杜城片区补充用地市政项目EPC工程总承包、雁塔区宜家天桥建设工程EPC总承包结算审核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雁塔区2023年杜城片区补充用地市政项目EPC工程总承包、雁塔区宜家天桥建设工程EPC总承包结算审核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采购包1（雁塔区2023年村城片区补充用地市政项目EPC工程总承包、雁塔区宜家天桥建设工程EPC总承包结算审核）：属于专门面向中小企业采购。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的，提供法定代表人身份证明及身份证复印件；法定代表人授权代理人参加的，提供法定代表人授权委托书（附法定代表人、被授权人身份证复印件），并提供被授权人开标前三个月任意时间段的社保缴纳证明</w:t>
      </w:r>
    </w:p>
    <w:p>
      <w:pPr>
        <w:pStyle w:val="null3"/>
      </w:pPr>
      <w:r>
        <w:rPr>
          <w:rFonts w:ascii="仿宋_GB2312" w:hAnsi="仿宋_GB2312" w:cs="仿宋_GB2312" w:eastAsia="仿宋_GB2312"/>
        </w:rPr>
        <w:t>2、项目负责人：拟派项目负责人须具备国家一级注册造价工程师资格证书，并在本单位注册。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代理服务费收费标准：以最终中标价为计算基价,参考国家计委颁发的《招标代理服务收费管理暂行办法》（计价格[2002]1980 号）和国家发展改革委员会办公厅颁发的《关于招标代理服务收费有关问题的通知》（发改办价格[2003] 857 号）标准的 80%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联系人：任莹</w:t>
      </w:r>
    </w:p>
    <w:p>
      <w:pPr>
        <w:pStyle w:val="null3"/>
      </w:pPr>
      <w:r>
        <w:rPr>
          <w:rFonts w:ascii="仿宋_GB2312" w:hAnsi="仿宋_GB2312" w:cs="仿宋_GB2312" w:eastAsia="仿宋_GB2312"/>
        </w:rPr>
        <w:t>联系电话：029-88669622-801</w:t>
      </w:r>
    </w:p>
    <w:p>
      <w:pPr>
        <w:pStyle w:val="null3"/>
      </w:pPr>
      <w:r>
        <w:rPr>
          <w:rFonts w:ascii="仿宋_GB2312" w:hAnsi="仿宋_GB2312" w:cs="仿宋_GB2312" w:eastAsia="仿宋_GB2312"/>
        </w:rPr>
        <w:t>地址：西安市雁塔区朱雀大街南段汇成天玺酒店C座11层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雁塔区2023年杜城片区补充用地市政项目EPC工程总承包、雁塔区宜家天桥建设工程EPC总承包结算审核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结算审核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标的名称：结算审核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资料提交与审核要求</w:t>
            </w:r>
          </w:p>
          <w:p>
            <w:pPr>
              <w:pStyle w:val="null3"/>
              <w:jc w:val="left"/>
            </w:pPr>
            <w:r>
              <w:rPr>
                <w:rFonts w:ascii="仿宋_GB2312" w:hAnsi="仿宋_GB2312" w:cs="仿宋_GB2312" w:eastAsia="仿宋_GB2312"/>
                <w:sz w:val="24"/>
              </w:rPr>
              <w:t>供应商需要求施工单位提交完整资料，且需采购人、监理签字盖章确认原件，无效资料不得计入结算，核心资料清单：</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竣工图（带竣工图专用章、监理</w:t>
            </w:r>
            <w:r>
              <w:rPr>
                <w:rFonts w:ascii="仿宋_GB2312" w:hAnsi="仿宋_GB2312" w:cs="仿宋_GB2312" w:eastAsia="仿宋_GB2312"/>
                <w:sz w:val="24"/>
              </w:rPr>
              <w:t>+采购人审核签字）、施工图、图纸会审记录</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招标文件、答疑、投标文件、中标通知书、施工合同及补充协议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设计变更单（原设计单位出具</w:t>
            </w:r>
            <w:r>
              <w:rPr>
                <w:rFonts w:ascii="仿宋_GB2312" w:hAnsi="仿宋_GB2312" w:cs="仿宋_GB2312" w:eastAsia="仿宋_GB2312"/>
                <w:sz w:val="24"/>
              </w:rPr>
              <w:t>+多方签字盖章，重大变更需审批文件）、现场签证单（签字齐全，明确责任主体及费用依据）</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隐蔽工程验收记录、施工日志、材料设备合格证</w:t>
            </w:r>
            <w:r>
              <w:rPr>
                <w:rFonts w:ascii="仿宋_GB2312" w:hAnsi="仿宋_GB2312" w:cs="仿宋_GB2312" w:eastAsia="仿宋_GB2312"/>
                <w:sz w:val="24"/>
              </w:rPr>
              <w:t>/检测报告、甲定乙供材料定价单</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工程量计算书、投标预算书、进度款支付凭证等造价相关资料</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结算编制</w:t>
            </w:r>
            <w:r>
              <w:rPr>
                <w:rFonts w:ascii="仿宋_GB2312" w:hAnsi="仿宋_GB2312" w:cs="仿宋_GB2312" w:eastAsia="仿宋_GB2312"/>
                <w:sz w:val="24"/>
              </w:rPr>
              <w:t>/审核技术标准</w:t>
            </w:r>
          </w:p>
          <w:p>
            <w:pPr>
              <w:pStyle w:val="null3"/>
              <w:jc w:val="left"/>
            </w:pPr>
            <w:r>
              <w:rPr>
                <w:rFonts w:ascii="仿宋_GB2312" w:hAnsi="仿宋_GB2312" w:cs="仿宋_GB2312" w:eastAsia="仿宋_GB2312"/>
                <w:sz w:val="24"/>
              </w:rPr>
              <w:t>1.计价依据：执行陕西省现行定额、西安市当期《建设工程造价信息》，缺信息价材料按三方询价确认</w:t>
            </w:r>
          </w:p>
          <w:p>
            <w:pPr>
              <w:pStyle w:val="null3"/>
              <w:jc w:val="left"/>
            </w:pPr>
            <w:r>
              <w:rPr>
                <w:rFonts w:ascii="仿宋_GB2312" w:hAnsi="仿宋_GB2312" w:cs="仿宋_GB2312" w:eastAsia="仿宋_GB2312"/>
                <w:sz w:val="24"/>
              </w:rPr>
              <w:t>2.软件要求：统一使用广联达（GBQ）计价软件，成果需提供电子文档</w:t>
            </w:r>
          </w:p>
          <w:p>
            <w:pPr>
              <w:pStyle w:val="null3"/>
              <w:jc w:val="left"/>
            </w:pPr>
            <w:r>
              <w:rPr>
                <w:rFonts w:ascii="仿宋_GB2312" w:hAnsi="仿宋_GB2312" w:cs="仿宋_GB2312" w:eastAsia="仿宋_GB2312"/>
                <w:sz w:val="24"/>
              </w:rPr>
              <w:t>3.费用管控：安全文明施工费、规费、税金、暂列金额/暂估价为不可竞争费用，不得让利；可竞争费用不得零/负报价，禁止不平衡报价</w:t>
            </w:r>
          </w:p>
          <w:p>
            <w:pPr>
              <w:pStyle w:val="null3"/>
              <w:jc w:val="left"/>
            </w:pPr>
            <w:r>
              <w:rPr>
                <w:rFonts w:ascii="仿宋_GB2312" w:hAnsi="仿宋_GB2312" w:cs="仿宋_GB2312" w:eastAsia="仿宋_GB2312"/>
                <w:sz w:val="24"/>
              </w:rPr>
              <w:t>4.成果要求：结算书分2部分编制（竣工图对应变更结算+现场签证及其他费用），工程量计算书需标注计算依据（图号/轴线），编号连续可追溯</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服务成果交付</w:t>
            </w:r>
          </w:p>
          <w:p>
            <w:pPr>
              <w:pStyle w:val="null3"/>
              <w:jc w:val="left"/>
            </w:pPr>
            <w:r>
              <w:rPr>
                <w:rFonts w:ascii="仿宋_GB2312" w:hAnsi="仿宋_GB2312" w:cs="仿宋_GB2312" w:eastAsia="仿宋_GB2312"/>
                <w:sz w:val="24"/>
              </w:rPr>
              <w:t>1. 最终成果：工程结算审核报告/编制报告（含结算汇总表、明细单、审核说明），需造价师签字+加盖造价师专用章、单位公章，一式至少5份（采购人3份、供应商1份、备案1份）</w:t>
            </w:r>
          </w:p>
          <w:p>
            <w:pPr>
              <w:pStyle w:val="null3"/>
            </w:pPr>
            <w:r>
              <w:rPr>
                <w:rFonts w:ascii="仿宋_GB2312" w:hAnsi="仿宋_GB2312" w:cs="仿宋_GB2312" w:eastAsia="仿宋_GB2312"/>
                <w:sz w:val="24"/>
              </w:rPr>
              <w:t>2. 辅助成果：资料审核台账、争议问题说明、计价依据摘录、电子成果U盘（含全套资料扫描件）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按照竞争性磋商文件、竞争性磋商响应文件及合同约定内容进行验收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提交最终版成果文件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因履行本合同引起的或与本合同有关的争议，甲、乙双方应首先通过友好协商解决;如果协商不能解决争议，甲乙双方同意采取下列两种方式的第（1）种方式解决争议: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1、具有独立承担民事责任能力的法人、其他组织或自然人，并出具合法有效的营业执照或事业单位法人证书等国家规定的相关证明，自然人参与的提供其身份证明； 2、具有履行合同所必需的设备和专业技术能力； 3、提供2025年1月1日至今已缴纳的任意1个月的依法缴纳税收的相关凭据（时间以税款所属日期为准、税种须包含增值税或企业所得税），凭据应有税务机关或代收机关的公章或业务专用章（依法免税或无须缴纳税收的供应商，应提供相关证明文件）； 4、提供2025年1月1日至今已缴纳的任意1个月的的社会保障资金缴存单据或社保机构开具的社会保险参保缴费情况证明，单据或证明上应有社保机构或代收机构的公章或业务专用章（依法不需要缴纳社会保障资金的供应商应提供相关证明）； 5、提供参加本次政府采购活动前三年内在经营活动中没有重大违法记录的书面声明； 6、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有效的2024年度财务审计报告（成立时间至提交响应文件截止时间不足一年的可提供成立后任意时段的资产负债表），或提交自公告发布之日起至磋商截止日期前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的，提供法定代表人身份证明及身份证复印件；法定代表人授权代理人参加的，提供法定代表人授权委托书（附法定代表人、被授权人身份证复印件），并提供被授权人开标前三个月任意时间段的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拟派项目负责人须具备国家一级注册造价工程师资格证书，并在本单位注册。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供应商名称和主体资格证明材料一致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1.方案完整科学、条理清晰，可实施性强的，得15分； 2.方案较为完整、符合需求、条理清晰，可实施性强的，得12分； 3.方案基本完整、内容基本满足需求、条理比较清晰，可实施性较强，得9分； 4.方案基本可行、内容基本满足需求、条理基本清晰，有一定可实施性，得6分。 5.方案内容模糊、缺乏针对性、缺乏实施性，得3分； 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1.提供内容完整、详实可行的项目实施进度计划；方案内容完备，合理性、可行性强，阶段清晰分明，得15分； 2.提供内容较完整、可行的项目实施进度计划；方案内容完备，具备合理性、可行性，阶段较为清晰，得12分； 3.提供内容基本完整的项目实施进度计划；方案内容基本完善，基本合理，阶段划分基本清晰，得9分； 4.提供内容不够完整的项目实施进度计划；方案内容片面，合理性较弱，阶段划分模糊，得6分； 5.提供内容不够完整、可行的项目实施进度计划；方案内容不完备，不太合理、可行，阶段不清晰，得3分； 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1.具有健全的质量保障方案，方案科学合理，可行性强，针对性强，得10分； 2.具有质量保障方案，方案较科学合理，可行性较强，针对性较强，得8分； 3.具有质量保障方案，方案可行性、针对性一般，得6分； 4.质量保障方案基本可行，有针对性，得4分； 5.质量保障方案模糊，可行性、针对性弱，得2分； 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工作要点控制措施</w:t>
            </w:r>
          </w:p>
        </w:tc>
        <w:tc>
          <w:tcPr>
            <w:tcW w:type="dxa" w:w="2492"/>
          </w:tcPr>
          <w:p>
            <w:pPr>
              <w:pStyle w:val="null3"/>
            </w:pPr>
            <w:r>
              <w:rPr>
                <w:rFonts w:ascii="仿宋_GB2312" w:hAnsi="仿宋_GB2312" w:cs="仿宋_GB2312" w:eastAsia="仿宋_GB2312"/>
              </w:rPr>
              <w:t>1.控制措施内容完整，控制措施合理科学，可行性强的，得6分； 2.控制措施内容较为完整、措施得当、可行性较强的，得4分； 3.控制措施内容基本完整、措施基本得当、具有一定的可行性的，得2分； 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1.措施合理、可行，有明确的保密条例的,得6分； 2.措施比较合理，有保密条例的，得4分 3.措施合理性差，没有明确的保密条例或保密条例差的，得2分 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1.措施内容完整，可实施性强的，得6分； 2.措施内容基本完整，可实施性较强的，得4分； 3.措施内容不全，可实施性一般的，得2分 本项不提供的，不得分。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1.拟派项目负责人具有高级职称得3分，具有中级职称得1分，其他不得分； 2.提供项目负责人2022年1月1日以来类似项目业绩，每提供一份业绩得3分，最多得6分。 注：1.提供拟派项目负责人的职称证书,同时提供开标日期前近六个月内任意一个月的为其缴纳的社保缴纳证明（退休人员无法提供社保证明的，提供身份证、退休证及聘用合同）； 2.业绩证明材料以合同复印件为准。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1.拟投入项目组成员(不包括项目负责人)具有一级注册造价工程师的每人得 3 分，具有二级注册造价工程师的每人得1 分，此项最多得4分。 2.拟投入的造价工程师(不包括项目负责人)每提供一个高级职称得3分，每提供一个中级职称得1分，其他不得分，此项最多得4分。 注：提供项目组成员的资格、职称相关证书，同时提供开标日期前近六个月内任意一个月的为其缴纳的社保缴纳证明（退休人员无法提供社保证明的，提供身份证、退休证及聘用合同）。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供应商提供2022年1月1日以来类似项目业绩，每提供一份业绩得3分，最多得15分。 注：业绩证明材料以合同复印件为准,类似业绩和项目负责人业绩可重复使用。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