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版本号：ZJZC2025112500620260121001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西安市雁塔区红星路北延伸、青龙北路西延伸初步设计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ZJZC20251125006</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西安市雁塔区红星路北延伸、青龙北路西延伸初步设计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ZJZC20251125006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西安市雁塔区红星路北延伸、青龙北路西延伸初步设计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红星路北延伸、青龙北路西延伸初步设计，服务内容包含雁塔区青龙北路西延伸（西延路-联建小区）及雁塔区红星路北延伸（后村西路-联建小区）两个项目市政道路的道路工程、雨水工程、污水工程、交通工程、照明工程进行初步设计及概算等工作。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采购包1（西安市雁塔区红星路北延伸、青龙北路西延伸初步设计）：属于专门面向中小企业采购。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资质：供应商具备工程设计综合甲级资质，或市政行业工程设计乙级及以上资质，或市政行业（燃气工程、轨道交通工程除外）乙级及以上资质，或市政行业（道路工程）专业丙级及以上资质及市政行业（排水工程）专业丙级及以上资质，并在人员、设备、资金等方面具备相应的设计能力。</w:t>
      </w:r>
    </w:p>
    <w:p>
      <w:pPr>
        <w:pStyle w:val="null3"/>
      </w:pPr>
      <w:r>
        <w:rPr>
          <w:rFonts w:ascii="仿宋_GB2312" w:hAnsi="仿宋_GB2312" w:cs="仿宋_GB2312" w:eastAsia="仿宋_GB2312"/>
        </w:rPr>
        <w:t>3、项目负责人：供应商拟派项目负责人具备市政工程相关专业的高级职称，且在本单位任职（提供相应证明材料）。</w:t>
      </w:r>
    </w:p>
    <w:p>
      <w:pPr>
        <w:pStyle w:val="null3"/>
      </w:pPr>
      <w:r>
        <w:rPr>
          <w:rFonts w:ascii="仿宋_GB2312" w:hAnsi="仿宋_GB2312" w:cs="仿宋_GB2312" w:eastAsia="仿宋_GB2312"/>
        </w:rPr>
        <w:t>4、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6、社保缴纳证明：提供递交响应文件截止之日前一年内任意一个月的社会保障资金缴存单据或社保机构开具的社会保险参保缴费情况证明。依法不需要缴纳社会保障资金的供应商应提供相关文件证明。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董喜峰、裴慢慢、孙晓梅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15102971384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6000.00元按6000.00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联系人：董喜峰、裴慢慢、孙晓梅</w:t>
      </w:r>
    </w:p>
    <w:p>
      <w:pPr>
        <w:pStyle w:val="null3"/>
      </w:pPr>
      <w:r>
        <w:rPr>
          <w:rFonts w:ascii="仿宋_GB2312" w:hAnsi="仿宋_GB2312" w:cs="仿宋_GB2312" w:eastAsia="仿宋_GB2312"/>
        </w:rPr>
        <w:t>联系电话：15102971384</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红星路北延伸、青龙北路西延伸初步设计，服务内容包含雁塔区青龙北路西延伸（西延路-联建小区）及雁塔区红星路北延伸（后村西路-联建小区）两个项目市政道路的道路工程、雨水工程、污水工程、交通工程、照明工程进行初步设计及概算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05"/>
              <w:ind w:firstLine="482"/>
              <w:jc w:val="both"/>
            </w:pPr>
            <w:r>
              <w:rPr>
                <w:rFonts w:ascii="仿宋_GB2312" w:hAnsi="仿宋_GB2312" w:cs="仿宋_GB2312" w:eastAsia="仿宋_GB2312"/>
                <w:sz w:val="24"/>
                <w:b/>
              </w:rPr>
              <w:t>一、项目概况</w:t>
            </w:r>
          </w:p>
          <w:p>
            <w:pPr>
              <w:pStyle w:val="null3"/>
              <w:spacing w:after="105"/>
              <w:ind w:firstLine="480"/>
              <w:jc w:val="both"/>
            </w:pPr>
            <w:r>
              <w:rPr>
                <w:rFonts w:ascii="仿宋_GB2312" w:hAnsi="仿宋_GB2312" w:cs="仿宋_GB2312" w:eastAsia="仿宋_GB2312"/>
                <w:sz w:val="24"/>
              </w:rPr>
              <w:t>雁塔区青龙北路西延伸（西延路</w:t>
            </w:r>
            <w:r>
              <w:rPr>
                <w:rFonts w:ascii="仿宋_GB2312" w:hAnsi="仿宋_GB2312" w:cs="仿宋_GB2312" w:eastAsia="仿宋_GB2312"/>
                <w:sz w:val="24"/>
              </w:rPr>
              <w:t>-</w:t>
            </w:r>
            <w:r>
              <w:rPr>
                <w:rFonts w:ascii="仿宋_GB2312" w:hAnsi="仿宋_GB2312" w:cs="仿宋_GB2312" w:eastAsia="仿宋_GB2312"/>
                <w:sz w:val="24"/>
              </w:rPr>
              <w:t>联建小区）设计道路为东西向道路，西起红星路北延伸，东至西延路，规划为城市支路，道路规划红线宽</w:t>
            </w:r>
            <w:r>
              <w:rPr>
                <w:rFonts w:ascii="仿宋_GB2312" w:hAnsi="仿宋_GB2312" w:cs="仿宋_GB2312" w:eastAsia="仿宋_GB2312"/>
                <w:sz w:val="24"/>
              </w:rPr>
              <w:t>20m</w:t>
            </w:r>
            <w:r>
              <w:rPr>
                <w:rFonts w:ascii="仿宋_GB2312" w:hAnsi="仿宋_GB2312" w:cs="仿宋_GB2312" w:eastAsia="仿宋_GB2312"/>
                <w:sz w:val="24"/>
              </w:rPr>
              <w:t>，道路全长</w:t>
            </w:r>
            <w:r>
              <w:rPr>
                <w:rFonts w:ascii="仿宋_GB2312" w:hAnsi="仿宋_GB2312" w:cs="仿宋_GB2312" w:eastAsia="仿宋_GB2312"/>
                <w:sz w:val="24"/>
              </w:rPr>
              <w:t>314.259m</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雁塔区红星路北延伸（后村西路</w:t>
            </w:r>
            <w:r>
              <w:rPr>
                <w:rFonts w:ascii="仿宋_GB2312" w:hAnsi="仿宋_GB2312" w:cs="仿宋_GB2312" w:eastAsia="仿宋_GB2312"/>
                <w:sz w:val="24"/>
              </w:rPr>
              <w:t>-</w:t>
            </w:r>
            <w:r>
              <w:rPr>
                <w:rFonts w:ascii="仿宋_GB2312" w:hAnsi="仿宋_GB2312" w:cs="仿宋_GB2312" w:eastAsia="仿宋_GB2312"/>
                <w:sz w:val="24"/>
              </w:rPr>
              <w:t>联建小区）本次设计道路为南北向向道路，南起后村西路，北至青龙北路西延伸，规划为城市支路，道路规划红线宽</w:t>
            </w:r>
            <w:r>
              <w:rPr>
                <w:rFonts w:ascii="仿宋_GB2312" w:hAnsi="仿宋_GB2312" w:cs="仿宋_GB2312" w:eastAsia="仿宋_GB2312"/>
                <w:sz w:val="24"/>
              </w:rPr>
              <w:t>20m</w:t>
            </w:r>
            <w:r>
              <w:rPr>
                <w:rFonts w:ascii="仿宋_GB2312" w:hAnsi="仿宋_GB2312" w:cs="仿宋_GB2312" w:eastAsia="仿宋_GB2312"/>
                <w:sz w:val="24"/>
              </w:rPr>
              <w:t>，道路全长</w:t>
            </w:r>
            <w:r>
              <w:rPr>
                <w:rFonts w:ascii="仿宋_GB2312" w:hAnsi="仿宋_GB2312" w:cs="仿宋_GB2312" w:eastAsia="仿宋_GB2312"/>
                <w:sz w:val="24"/>
              </w:rPr>
              <w:t>395.17m</w:t>
            </w:r>
            <w:r>
              <w:rPr>
                <w:rFonts w:ascii="仿宋_GB2312" w:hAnsi="仿宋_GB2312" w:cs="仿宋_GB2312" w:eastAsia="仿宋_GB2312"/>
                <w:sz w:val="24"/>
              </w:rPr>
              <w:t>。</w:t>
            </w:r>
          </w:p>
          <w:p>
            <w:pPr>
              <w:pStyle w:val="null3"/>
              <w:spacing w:after="105"/>
              <w:ind w:firstLine="482"/>
              <w:jc w:val="both"/>
            </w:pPr>
            <w:r>
              <w:rPr>
                <w:rFonts w:ascii="仿宋_GB2312" w:hAnsi="仿宋_GB2312" w:cs="仿宋_GB2312" w:eastAsia="仿宋_GB2312"/>
                <w:sz w:val="24"/>
                <w:b/>
              </w:rPr>
              <w:t>二、服务内容</w:t>
            </w:r>
          </w:p>
          <w:p>
            <w:pPr>
              <w:pStyle w:val="null3"/>
              <w:spacing w:after="105"/>
              <w:ind w:firstLine="480"/>
              <w:jc w:val="both"/>
            </w:pPr>
            <w:r>
              <w:rPr>
                <w:rFonts w:ascii="仿宋_GB2312" w:hAnsi="仿宋_GB2312" w:cs="仿宋_GB2312" w:eastAsia="仿宋_GB2312"/>
                <w:sz w:val="24"/>
              </w:rPr>
              <w:t>服务内容包含雁塔区青龙北路西延伸（西延路</w:t>
            </w:r>
            <w:r>
              <w:rPr>
                <w:rFonts w:ascii="仿宋_GB2312" w:hAnsi="仿宋_GB2312" w:cs="仿宋_GB2312" w:eastAsia="仿宋_GB2312"/>
                <w:sz w:val="24"/>
              </w:rPr>
              <w:t>-</w:t>
            </w:r>
            <w:r>
              <w:rPr>
                <w:rFonts w:ascii="仿宋_GB2312" w:hAnsi="仿宋_GB2312" w:cs="仿宋_GB2312" w:eastAsia="仿宋_GB2312"/>
                <w:sz w:val="24"/>
              </w:rPr>
              <w:t>联建小区）及雁塔区红星路北延伸（后村西路</w:t>
            </w:r>
            <w:r>
              <w:rPr>
                <w:rFonts w:ascii="仿宋_GB2312" w:hAnsi="仿宋_GB2312" w:cs="仿宋_GB2312" w:eastAsia="仿宋_GB2312"/>
                <w:sz w:val="24"/>
              </w:rPr>
              <w:t>-</w:t>
            </w:r>
            <w:r>
              <w:rPr>
                <w:rFonts w:ascii="仿宋_GB2312" w:hAnsi="仿宋_GB2312" w:cs="仿宋_GB2312" w:eastAsia="仿宋_GB2312"/>
                <w:sz w:val="24"/>
              </w:rPr>
              <w:t>联建小区）两个项目市政道路的道路工程、雨水工程、污水工程、交通工程、照明工程进行初步设计及概算等工作。</w:t>
            </w:r>
          </w:p>
          <w:p>
            <w:pPr>
              <w:pStyle w:val="null3"/>
              <w:spacing w:after="105"/>
              <w:ind w:firstLine="482"/>
              <w:jc w:val="both"/>
            </w:pPr>
            <w:r>
              <w:rPr>
                <w:rFonts w:ascii="仿宋_GB2312" w:hAnsi="仿宋_GB2312" w:cs="仿宋_GB2312" w:eastAsia="仿宋_GB2312"/>
                <w:sz w:val="24"/>
                <w:b/>
              </w:rPr>
              <w:t>三、技术要求</w:t>
            </w:r>
          </w:p>
          <w:p>
            <w:pPr>
              <w:pStyle w:val="null3"/>
              <w:spacing w:after="105"/>
              <w:ind w:firstLine="480"/>
              <w:jc w:val="both"/>
            </w:pPr>
            <w:r>
              <w:rPr>
                <w:rFonts w:ascii="仿宋_GB2312" w:hAnsi="仿宋_GB2312" w:cs="仿宋_GB2312" w:eastAsia="仿宋_GB2312"/>
                <w:sz w:val="24"/>
              </w:rPr>
              <w:t>符合以下技术要求：</w:t>
            </w:r>
          </w:p>
          <w:p>
            <w:pPr>
              <w:pStyle w:val="null3"/>
              <w:spacing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《城市道路交通工程项目规范》（</w:t>
            </w:r>
            <w:r>
              <w:rPr>
                <w:rFonts w:ascii="仿宋_GB2312" w:hAnsi="仿宋_GB2312" w:cs="仿宋_GB2312" w:eastAsia="仿宋_GB2312"/>
                <w:sz w:val="24"/>
              </w:rPr>
              <w:t>GB 55011-2021</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《城市道路工程设计规范》（</w:t>
            </w:r>
            <w:r>
              <w:rPr>
                <w:rFonts w:ascii="仿宋_GB2312" w:hAnsi="仿宋_GB2312" w:cs="仿宋_GB2312" w:eastAsia="仿宋_GB2312"/>
                <w:sz w:val="24"/>
              </w:rPr>
              <w:t xml:space="preserve">CJJ37—2012 2016 </w:t>
            </w:r>
            <w:r>
              <w:rPr>
                <w:rFonts w:ascii="仿宋_GB2312" w:hAnsi="仿宋_GB2312" w:cs="仿宋_GB2312" w:eastAsia="仿宋_GB2312"/>
                <w:sz w:val="24"/>
              </w:rPr>
              <w:t>年版）；</w:t>
            </w:r>
          </w:p>
          <w:p>
            <w:pPr>
              <w:pStyle w:val="null3"/>
              <w:spacing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《城市道路交叉口规划规范》（</w:t>
            </w:r>
            <w:r>
              <w:rPr>
                <w:rFonts w:ascii="仿宋_GB2312" w:hAnsi="仿宋_GB2312" w:cs="仿宋_GB2312" w:eastAsia="仿宋_GB2312"/>
                <w:sz w:val="24"/>
              </w:rPr>
              <w:t>GB50647—2011</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《城市道路交叉口设计规程》（</w:t>
            </w:r>
            <w:r>
              <w:rPr>
                <w:rFonts w:ascii="仿宋_GB2312" w:hAnsi="仿宋_GB2312" w:cs="仿宋_GB2312" w:eastAsia="仿宋_GB2312"/>
                <w:sz w:val="24"/>
              </w:rPr>
              <w:t>CJJ152—2010</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《城市道路路线设计规范》（</w:t>
            </w:r>
            <w:r>
              <w:rPr>
                <w:rFonts w:ascii="仿宋_GB2312" w:hAnsi="仿宋_GB2312" w:cs="仿宋_GB2312" w:eastAsia="仿宋_GB2312"/>
                <w:sz w:val="24"/>
              </w:rPr>
              <w:t>CJJ193-2012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(6)</w:t>
            </w:r>
            <w:r>
              <w:rPr>
                <w:rFonts w:ascii="仿宋_GB2312" w:hAnsi="仿宋_GB2312" w:cs="仿宋_GB2312" w:eastAsia="仿宋_GB2312"/>
                <w:sz w:val="24"/>
              </w:rPr>
              <w:t>《无障碍设计规范》（</w:t>
            </w:r>
            <w:r>
              <w:rPr>
                <w:rFonts w:ascii="仿宋_GB2312" w:hAnsi="仿宋_GB2312" w:cs="仿宋_GB2312" w:eastAsia="仿宋_GB2312"/>
                <w:sz w:val="24"/>
              </w:rPr>
              <w:t>GB 50763-2012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(7)</w:t>
            </w:r>
            <w:r>
              <w:rPr>
                <w:rFonts w:ascii="仿宋_GB2312" w:hAnsi="仿宋_GB2312" w:cs="仿宋_GB2312" w:eastAsia="仿宋_GB2312"/>
                <w:sz w:val="24"/>
              </w:rPr>
              <w:t>《建筑与市政工程无障碍通用规范》（</w:t>
            </w:r>
            <w:r>
              <w:rPr>
                <w:rFonts w:ascii="仿宋_GB2312" w:hAnsi="仿宋_GB2312" w:cs="仿宋_GB2312" w:eastAsia="仿宋_GB2312"/>
                <w:sz w:val="24"/>
              </w:rPr>
              <w:t>GB55019-2021</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(8)</w:t>
            </w:r>
            <w:r>
              <w:rPr>
                <w:rFonts w:ascii="仿宋_GB2312" w:hAnsi="仿宋_GB2312" w:cs="仿宋_GB2312" w:eastAsia="仿宋_GB2312"/>
                <w:sz w:val="24"/>
              </w:rPr>
              <w:t>《城市道路路基设计规范》（</w:t>
            </w:r>
            <w:r>
              <w:rPr>
                <w:rFonts w:ascii="仿宋_GB2312" w:hAnsi="仿宋_GB2312" w:cs="仿宋_GB2312" w:eastAsia="仿宋_GB2312"/>
                <w:sz w:val="24"/>
              </w:rPr>
              <w:t>CJJ 194-2013</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(9)</w:t>
            </w:r>
            <w:r>
              <w:rPr>
                <w:rFonts w:ascii="仿宋_GB2312" w:hAnsi="仿宋_GB2312" w:cs="仿宋_GB2312" w:eastAsia="仿宋_GB2312"/>
                <w:sz w:val="24"/>
              </w:rPr>
              <w:t>《城镇道路路面设计规范》（</w:t>
            </w:r>
            <w:r>
              <w:rPr>
                <w:rFonts w:ascii="仿宋_GB2312" w:hAnsi="仿宋_GB2312" w:cs="仿宋_GB2312" w:eastAsia="仿宋_GB2312"/>
                <w:sz w:val="24"/>
              </w:rPr>
              <w:t>CJJ 169-2012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(10)</w:t>
            </w:r>
            <w:r>
              <w:rPr>
                <w:rFonts w:ascii="仿宋_GB2312" w:hAnsi="仿宋_GB2312" w:cs="仿宋_GB2312" w:eastAsia="仿宋_GB2312"/>
                <w:sz w:val="24"/>
              </w:rPr>
              <w:t>《湿陷性黄土地区建筑标准》（</w:t>
            </w:r>
            <w:r>
              <w:rPr>
                <w:rFonts w:ascii="仿宋_GB2312" w:hAnsi="仿宋_GB2312" w:cs="仿宋_GB2312" w:eastAsia="仿宋_GB2312"/>
                <w:sz w:val="24"/>
              </w:rPr>
              <w:t>GB50025-2018</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(11)</w:t>
            </w:r>
            <w:r>
              <w:rPr>
                <w:rFonts w:ascii="仿宋_GB2312" w:hAnsi="仿宋_GB2312" w:cs="仿宋_GB2312" w:eastAsia="仿宋_GB2312"/>
                <w:sz w:val="24"/>
              </w:rPr>
              <w:t>《孔内深层强夯法技术规程》（</w:t>
            </w:r>
            <w:r>
              <w:rPr>
                <w:rFonts w:ascii="仿宋_GB2312" w:hAnsi="仿宋_GB2312" w:cs="仿宋_GB2312" w:eastAsia="仿宋_GB2312"/>
                <w:sz w:val="24"/>
              </w:rPr>
              <w:t>CECS 197:2006</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(12)</w:t>
            </w:r>
            <w:r>
              <w:rPr>
                <w:rFonts w:ascii="仿宋_GB2312" w:hAnsi="仿宋_GB2312" w:cs="仿宋_GB2312" w:eastAsia="仿宋_GB2312"/>
                <w:sz w:val="24"/>
              </w:rPr>
              <w:t>《建筑地基处理技术规范》（</w:t>
            </w:r>
            <w:r>
              <w:rPr>
                <w:rFonts w:ascii="仿宋_GB2312" w:hAnsi="仿宋_GB2312" w:cs="仿宋_GB2312" w:eastAsia="仿宋_GB2312"/>
                <w:sz w:val="24"/>
              </w:rPr>
              <w:t>JGJ 79-2012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(13)</w:t>
            </w:r>
            <w:r>
              <w:rPr>
                <w:rFonts w:ascii="仿宋_GB2312" w:hAnsi="仿宋_GB2312" w:cs="仿宋_GB2312" w:eastAsia="仿宋_GB2312"/>
                <w:sz w:val="24"/>
              </w:rPr>
              <w:t>《道路交通标志板及支撑件》（</w:t>
            </w:r>
            <w:r>
              <w:rPr>
                <w:rFonts w:ascii="仿宋_GB2312" w:hAnsi="仿宋_GB2312" w:cs="仿宋_GB2312" w:eastAsia="仿宋_GB2312"/>
                <w:sz w:val="24"/>
              </w:rPr>
              <w:t>GB/T 23827-2021</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(14)</w:t>
            </w:r>
            <w:r>
              <w:rPr>
                <w:rFonts w:ascii="仿宋_GB2312" w:hAnsi="仿宋_GB2312" w:cs="仿宋_GB2312" w:eastAsia="仿宋_GB2312"/>
                <w:sz w:val="24"/>
              </w:rPr>
              <w:t xml:space="preserve">《道路交通标志和标线 第 </w:t>
            </w:r>
            <w:r>
              <w:rPr>
                <w:rFonts w:ascii="仿宋_GB2312" w:hAnsi="仿宋_GB2312" w:cs="仿宋_GB2312" w:eastAsia="仿宋_GB2312"/>
                <w:sz w:val="24"/>
              </w:rPr>
              <w:t xml:space="preserve">2 </w:t>
            </w:r>
            <w:r>
              <w:rPr>
                <w:rFonts w:ascii="仿宋_GB2312" w:hAnsi="仿宋_GB2312" w:cs="仿宋_GB2312" w:eastAsia="仿宋_GB2312"/>
                <w:sz w:val="24"/>
              </w:rPr>
              <w:t>部分：道路交通标志》（</w:t>
            </w:r>
            <w:r>
              <w:rPr>
                <w:rFonts w:ascii="仿宋_GB2312" w:hAnsi="仿宋_GB2312" w:cs="仿宋_GB2312" w:eastAsia="仿宋_GB2312"/>
                <w:sz w:val="24"/>
              </w:rPr>
              <w:t>GB 5768.2—2022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(15)</w:t>
            </w:r>
            <w:r>
              <w:rPr>
                <w:rFonts w:ascii="仿宋_GB2312" w:hAnsi="仿宋_GB2312" w:cs="仿宋_GB2312" w:eastAsia="仿宋_GB2312"/>
                <w:sz w:val="24"/>
              </w:rPr>
              <w:t>《道路交通反光膜》（</w:t>
            </w:r>
            <w:r>
              <w:rPr>
                <w:rFonts w:ascii="仿宋_GB2312" w:hAnsi="仿宋_GB2312" w:cs="仿宋_GB2312" w:eastAsia="仿宋_GB2312"/>
                <w:sz w:val="24"/>
              </w:rPr>
              <w:t>GB/T 18833-2012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(16)</w:t>
            </w:r>
            <w:r>
              <w:rPr>
                <w:rFonts w:ascii="仿宋_GB2312" w:hAnsi="仿宋_GB2312" w:cs="仿宋_GB2312" w:eastAsia="仿宋_GB2312"/>
                <w:sz w:val="24"/>
              </w:rPr>
              <w:t>《视觉信号表面色》（</w:t>
            </w:r>
            <w:r>
              <w:rPr>
                <w:rFonts w:ascii="仿宋_GB2312" w:hAnsi="仿宋_GB2312" w:cs="仿宋_GB2312" w:eastAsia="仿宋_GB2312"/>
                <w:sz w:val="24"/>
              </w:rPr>
              <w:t>GB/T 8416-2003</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(17)</w:t>
            </w:r>
            <w:r>
              <w:rPr>
                <w:rFonts w:ascii="仿宋_GB2312" w:hAnsi="仿宋_GB2312" w:cs="仿宋_GB2312" w:eastAsia="仿宋_GB2312"/>
                <w:sz w:val="24"/>
              </w:rPr>
              <w:t>《城市道路交通标志和标线设置规范》（</w:t>
            </w:r>
            <w:r>
              <w:rPr>
                <w:rFonts w:ascii="仿宋_GB2312" w:hAnsi="仿宋_GB2312" w:cs="仿宋_GB2312" w:eastAsia="仿宋_GB2312"/>
                <w:sz w:val="24"/>
              </w:rPr>
              <w:t>GB51038—2015</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(18)</w:t>
            </w:r>
            <w:r>
              <w:rPr>
                <w:rFonts w:ascii="仿宋_GB2312" w:hAnsi="仿宋_GB2312" w:cs="仿宋_GB2312" w:eastAsia="仿宋_GB2312"/>
                <w:sz w:val="24"/>
              </w:rPr>
              <w:t>《城乡排水工程项目规范》（</w:t>
            </w:r>
            <w:r>
              <w:rPr>
                <w:rFonts w:ascii="仿宋_GB2312" w:hAnsi="仿宋_GB2312" w:cs="仿宋_GB2312" w:eastAsia="仿宋_GB2312"/>
                <w:sz w:val="24"/>
              </w:rPr>
              <w:t>GB55027-2022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(19)</w:t>
            </w:r>
            <w:r>
              <w:rPr>
                <w:rFonts w:ascii="仿宋_GB2312" w:hAnsi="仿宋_GB2312" w:cs="仿宋_GB2312" w:eastAsia="仿宋_GB2312"/>
                <w:sz w:val="24"/>
              </w:rPr>
              <w:t>《城市给水工程项目规定》（</w:t>
            </w:r>
            <w:r>
              <w:rPr>
                <w:rFonts w:ascii="仿宋_GB2312" w:hAnsi="仿宋_GB2312" w:cs="仿宋_GB2312" w:eastAsia="仿宋_GB2312"/>
                <w:sz w:val="24"/>
              </w:rPr>
              <w:t>GB55026-2022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(20)</w:t>
            </w:r>
            <w:r>
              <w:rPr>
                <w:rFonts w:ascii="仿宋_GB2312" w:hAnsi="仿宋_GB2312" w:cs="仿宋_GB2312" w:eastAsia="仿宋_GB2312"/>
                <w:sz w:val="24"/>
              </w:rPr>
              <w:t>《城镇给水排水工程技术规范》（</w:t>
            </w:r>
            <w:r>
              <w:rPr>
                <w:rFonts w:ascii="仿宋_GB2312" w:hAnsi="仿宋_GB2312" w:cs="仿宋_GB2312" w:eastAsia="仿宋_GB2312"/>
                <w:sz w:val="24"/>
              </w:rPr>
              <w:t>GB50788-2012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(21)</w:t>
            </w:r>
            <w:r>
              <w:rPr>
                <w:rFonts w:ascii="仿宋_GB2312" w:hAnsi="仿宋_GB2312" w:cs="仿宋_GB2312" w:eastAsia="仿宋_GB2312"/>
                <w:sz w:val="24"/>
              </w:rPr>
              <w:t>《室外排水设计标准》（</w:t>
            </w:r>
            <w:r>
              <w:rPr>
                <w:rFonts w:ascii="仿宋_GB2312" w:hAnsi="仿宋_GB2312" w:cs="仿宋_GB2312" w:eastAsia="仿宋_GB2312"/>
                <w:sz w:val="24"/>
              </w:rPr>
              <w:t>GB 50014-2021</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(22)</w:t>
            </w:r>
            <w:r>
              <w:rPr>
                <w:rFonts w:ascii="仿宋_GB2312" w:hAnsi="仿宋_GB2312" w:cs="仿宋_GB2312" w:eastAsia="仿宋_GB2312"/>
                <w:sz w:val="24"/>
              </w:rPr>
              <w:t>《室外给水设计标准》（</w:t>
            </w:r>
            <w:r>
              <w:rPr>
                <w:rFonts w:ascii="仿宋_GB2312" w:hAnsi="仿宋_GB2312" w:cs="仿宋_GB2312" w:eastAsia="仿宋_GB2312"/>
                <w:sz w:val="24"/>
              </w:rPr>
              <w:t>GB50013-2018</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(23)</w:t>
            </w:r>
            <w:r>
              <w:rPr>
                <w:rFonts w:ascii="仿宋_GB2312" w:hAnsi="仿宋_GB2312" w:cs="仿宋_GB2312" w:eastAsia="仿宋_GB2312"/>
                <w:sz w:val="24"/>
              </w:rPr>
              <w:t>《室外给水排水和燃气热力工程抗震设计规范》（</w:t>
            </w:r>
            <w:r>
              <w:rPr>
                <w:rFonts w:ascii="仿宋_GB2312" w:hAnsi="仿宋_GB2312" w:cs="仿宋_GB2312" w:eastAsia="仿宋_GB2312"/>
                <w:sz w:val="24"/>
              </w:rPr>
              <w:t>GB50032-2003</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(24)</w:t>
            </w:r>
            <w:r>
              <w:rPr>
                <w:rFonts w:ascii="仿宋_GB2312" w:hAnsi="仿宋_GB2312" w:cs="仿宋_GB2312" w:eastAsia="仿宋_GB2312"/>
                <w:sz w:val="24"/>
              </w:rPr>
              <w:t>《给水排水工程管道结构设计规范》（</w:t>
            </w:r>
            <w:r>
              <w:rPr>
                <w:rFonts w:ascii="仿宋_GB2312" w:hAnsi="仿宋_GB2312" w:cs="仿宋_GB2312" w:eastAsia="仿宋_GB2312"/>
                <w:sz w:val="24"/>
              </w:rPr>
              <w:t>GB50332-2002</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(25)</w:t>
            </w:r>
            <w:r>
              <w:rPr>
                <w:rFonts w:ascii="仿宋_GB2312" w:hAnsi="仿宋_GB2312" w:cs="仿宋_GB2312" w:eastAsia="仿宋_GB2312"/>
                <w:sz w:val="24"/>
              </w:rPr>
              <w:t>《给水排水管道工程施工及验收规范》</w:t>
            </w:r>
            <w:r>
              <w:rPr>
                <w:rFonts w:ascii="仿宋_GB2312" w:hAnsi="仿宋_GB2312" w:cs="仿宋_GB2312" w:eastAsia="仿宋_GB2312"/>
                <w:sz w:val="24"/>
              </w:rPr>
              <w:t>(GB50268-2008)</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(26)</w:t>
            </w:r>
            <w:r>
              <w:rPr>
                <w:rFonts w:ascii="仿宋_GB2312" w:hAnsi="仿宋_GB2312" w:cs="仿宋_GB2312" w:eastAsia="仿宋_GB2312"/>
                <w:sz w:val="24"/>
              </w:rPr>
              <w:t>《建筑给水排水和节水通用规范》（</w:t>
            </w:r>
            <w:r>
              <w:rPr>
                <w:rFonts w:ascii="仿宋_GB2312" w:hAnsi="仿宋_GB2312" w:cs="仿宋_GB2312" w:eastAsia="仿宋_GB2312"/>
                <w:sz w:val="24"/>
              </w:rPr>
              <w:t>GB55020-2021</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(27)</w:t>
            </w:r>
            <w:r>
              <w:rPr>
                <w:rFonts w:ascii="仿宋_GB2312" w:hAnsi="仿宋_GB2312" w:cs="仿宋_GB2312" w:eastAsia="仿宋_GB2312"/>
                <w:sz w:val="24"/>
              </w:rPr>
              <w:t>《混凝土和钢筋混凝土排水管试验方法》（</w:t>
            </w:r>
            <w:r>
              <w:rPr>
                <w:rFonts w:ascii="仿宋_GB2312" w:hAnsi="仿宋_GB2312" w:cs="仿宋_GB2312" w:eastAsia="仿宋_GB2312"/>
                <w:sz w:val="24"/>
              </w:rPr>
              <w:t>GB/T 16752-2017</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(28)</w:t>
            </w:r>
            <w:r>
              <w:rPr>
                <w:rFonts w:ascii="仿宋_GB2312" w:hAnsi="仿宋_GB2312" w:cs="仿宋_GB2312" w:eastAsia="仿宋_GB2312"/>
                <w:sz w:val="24"/>
              </w:rPr>
              <w:t>《低压配电设计规范》（</w:t>
            </w:r>
            <w:r>
              <w:rPr>
                <w:rFonts w:ascii="仿宋_GB2312" w:hAnsi="仿宋_GB2312" w:cs="仿宋_GB2312" w:eastAsia="仿宋_GB2312"/>
                <w:sz w:val="24"/>
              </w:rPr>
              <w:t>GB50054-2011</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(29)</w:t>
            </w:r>
            <w:r>
              <w:rPr>
                <w:rFonts w:ascii="仿宋_GB2312" w:hAnsi="仿宋_GB2312" w:cs="仿宋_GB2312" w:eastAsia="仿宋_GB2312"/>
                <w:sz w:val="24"/>
              </w:rPr>
              <w:t>《城市道路照明设计标准》（</w:t>
            </w:r>
            <w:r>
              <w:rPr>
                <w:rFonts w:ascii="仿宋_GB2312" w:hAnsi="仿宋_GB2312" w:cs="仿宋_GB2312" w:eastAsia="仿宋_GB2312"/>
                <w:sz w:val="24"/>
              </w:rPr>
              <w:t>CJJ45-2015</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(30)</w:t>
            </w:r>
            <w:r>
              <w:rPr>
                <w:rFonts w:ascii="仿宋_GB2312" w:hAnsi="仿宋_GB2312" w:cs="仿宋_GB2312" w:eastAsia="仿宋_GB2312"/>
                <w:sz w:val="24"/>
              </w:rPr>
              <w:t>《电力工程电缆设计标准》（</w:t>
            </w:r>
            <w:r>
              <w:rPr>
                <w:rFonts w:ascii="仿宋_GB2312" w:hAnsi="仿宋_GB2312" w:cs="仿宋_GB2312" w:eastAsia="仿宋_GB2312"/>
                <w:sz w:val="24"/>
              </w:rPr>
              <w:t>GB50217-2018</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 xml:space="preserve">20kV </w:t>
            </w:r>
            <w:r>
              <w:rPr>
                <w:rFonts w:ascii="仿宋_GB2312" w:hAnsi="仿宋_GB2312" w:cs="仿宋_GB2312" w:eastAsia="仿宋_GB2312"/>
                <w:sz w:val="24"/>
              </w:rPr>
              <w:t>及以下变电所设计规范》（</w:t>
            </w:r>
            <w:r>
              <w:rPr>
                <w:rFonts w:ascii="仿宋_GB2312" w:hAnsi="仿宋_GB2312" w:cs="仿宋_GB2312" w:eastAsia="仿宋_GB2312"/>
                <w:sz w:val="24"/>
              </w:rPr>
              <w:t>GB50053-2013</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(32)</w:t>
            </w:r>
            <w:r>
              <w:rPr>
                <w:rFonts w:ascii="仿宋_GB2312" w:hAnsi="仿宋_GB2312" w:cs="仿宋_GB2312" w:eastAsia="仿宋_GB2312"/>
                <w:sz w:val="24"/>
              </w:rPr>
              <w:t>《城市工程管线综合规划规范》（</w:t>
            </w:r>
            <w:r>
              <w:rPr>
                <w:rFonts w:ascii="仿宋_GB2312" w:hAnsi="仿宋_GB2312" w:cs="仿宋_GB2312" w:eastAsia="仿宋_GB2312"/>
                <w:sz w:val="24"/>
              </w:rPr>
              <w:t>GB50289-2016</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(33)</w:t>
            </w:r>
            <w:r>
              <w:rPr>
                <w:rFonts w:ascii="仿宋_GB2312" w:hAnsi="仿宋_GB2312" w:cs="仿宋_GB2312" w:eastAsia="仿宋_GB2312"/>
                <w:sz w:val="24"/>
              </w:rPr>
              <w:t>《供配电系统设计规范》（</w:t>
            </w:r>
            <w:r>
              <w:rPr>
                <w:rFonts w:ascii="仿宋_GB2312" w:hAnsi="仿宋_GB2312" w:cs="仿宋_GB2312" w:eastAsia="仿宋_GB2312"/>
                <w:sz w:val="24"/>
              </w:rPr>
              <w:t>GB50052-2009</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(34)</w:t>
            </w:r>
            <w:r>
              <w:rPr>
                <w:rFonts w:ascii="仿宋_GB2312" w:hAnsi="仿宋_GB2312" w:cs="仿宋_GB2312" w:eastAsia="仿宋_GB2312"/>
                <w:sz w:val="24"/>
              </w:rPr>
              <w:t>《市政公用工程设计文件编制深度规定》（</w:t>
            </w:r>
            <w:r>
              <w:rPr>
                <w:rFonts w:ascii="仿宋_GB2312" w:hAnsi="仿宋_GB2312" w:cs="仿宋_GB2312" w:eastAsia="仿宋_GB2312"/>
                <w:sz w:val="24"/>
              </w:rPr>
              <w:t xml:space="preserve">2025 </w:t>
            </w:r>
            <w:r>
              <w:rPr>
                <w:rFonts w:ascii="仿宋_GB2312" w:hAnsi="仿宋_GB2312" w:cs="仿宋_GB2312" w:eastAsia="仿宋_GB2312"/>
                <w:sz w:val="24"/>
              </w:rPr>
              <w:t>版）；</w:t>
            </w:r>
          </w:p>
          <w:p>
            <w:pPr>
              <w:pStyle w:val="null3"/>
              <w:spacing w:after="105"/>
              <w:ind w:firstLine="480"/>
              <w:jc w:val="both"/>
            </w:pPr>
            <w:r>
              <w:rPr>
                <w:rFonts w:ascii="仿宋_GB2312" w:hAnsi="仿宋_GB2312" w:cs="仿宋_GB2312" w:eastAsia="仿宋_GB2312"/>
                <w:sz w:val="24"/>
              </w:rPr>
              <w:t>(35)</w:t>
            </w:r>
            <w:r>
              <w:rPr>
                <w:rFonts w:ascii="仿宋_GB2312" w:hAnsi="仿宋_GB2312" w:cs="仿宋_GB2312" w:eastAsia="仿宋_GB2312"/>
                <w:sz w:val="24"/>
              </w:rPr>
              <w:t>《 城市道路交通工程项目规范》（</w:t>
            </w:r>
            <w:r>
              <w:rPr>
                <w:rFonts w:ascii="仿宋_GB2312" w:hAnsi="仿宋_GB2312" w:cs="仿宋_GB2312" w:eastAsia="仿宋_GB2312"/>
                <w:sz w:val="24"/>
              </w:rPr>
              <w:t>GB55011-2021</w:t>
            </w:r>
            <w:r>
              <w:rPr>
                <w:rFonts w:ascii="仿宋_GB2312" w:hAnsi="仿宋_GB2312" w:cs="仿宋_GB2312" w:eastAsia="仿宋_GB2312"/>
                <w:sz w:val="24"/>
              </w:rPr>
              <w:t>）；</w:t>
            </w:r>
          </w:p>
          <w:p>
            <w:pPr>
              <w:pStyle w:val="null3"/>
              <w:spacing w:after="105"/>
              <w:ind w:firstLine="482"/>
              <w:jc w:val="both"/>
            </w:pPr>
            <w:r>
              <w:rPr>
                <w:rFonts w:ascii="仿宋_GB2312" w:hAnsi="仿宋_GB2312" w:cs="仿宋_GB2312" w:eastAsia="仿宋_GB2312"/>
                <w:sz w:val="24"/>
                <w:b/>
              </w:rPr>
              <w:t>四、服务要求</w:t>
            </w:r>
          </w:p>
          <w:p>
            <w:pPr>
              <w:pStyle w:val="null3"/>
              <w:ind w:firstLine="480"/>
              <w:jc w:val="left"/>
            </w:pPr>
            <w:r>
              <w:rPr>
                <w:rFonts w:ascii="仿宋_GB2312" w:hAnsi="仿宋_GB2312" w:cs="仿宋_GB2312" w:eastAsia="仿宋_GB2312"/>
                <w:sz w:val="24"/>
              </w:rPr>
              <w:t>（一）项目人员配备</w:t>
            </w:r>
          </w:p>
          <w:p>
            <w:pPr>
              <w:pStyle w:val="null3"/>
              <w:spacing w:after="105"/>
              <w:ind w:firstLine="480"/>
              <w:jc w:val="left"/>
            </w:pPr>
            <w:r>
              <w:rPr>
                <w:rFonts w:ascii="仿宋_GB2312" w:hAnsi="仿宋_GB2312" w:cs="仿宋_GB2312" w:eastAsia="仿宋_GB2312"/>
                <w:sz w:val="24"/>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要求。</w:t>
            </w:r>
          </w:p>
          <w:p>
            <w:pPr>
              <w:pStyle w:val="null3"/>
              <w:spacing w:after="105"/>
              <w:ind w:firstLine="480"/>
              <w:jc w:val="both"/>
            </w:pPr>
            <w:r>
              <w:rPr>
                <w:rFonts w:ascii="仿宋_GB2312" w:hAnsi="仿宋_GB2312" w:cs="仿宋_GB2312" w:eastAsia="仿宋_GB2312"/>
                <w:sz w:val="24"/>
              </w:rPr>
              <w:t>（二）具体服务要求</w:t>
            </w:r>
          </w:p>
          <w:p>
            <w:pPr>
              <w:pStyle w:val="null3"/>
              <w:spacing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、成果文件的格式要求：初步设计文本及图纸</w:t>
            </w:r>
            <w:r>
              <w:rPr>
                <w:rFonts w:ascii="仿宋_GB2312" w:hAnsi="仿宋_GB2312" w:cs="仿宋_GB2312" w:eastAsia="仿宋_GB2312"/>
                <w:sz w:val="24"/>
              </w:rPr>
              <w:t>A3</w:t>
            </w:r>
            <w:r>
              <w:rPr>
                <w:rFonts w:ascii="仿宋_GB2312" w:hAnsi="仿宋_GB2312" w:cs="仿宋_GB2312" w:eastAsia="仿宋_GB2312"/>
                <w:sz w:val="24"/>
              </w:rPr>
              <w:t>、概算文本</w:t>
            </w:r>
            <w:r>
              <w:rPr>
                <w:rFonts w:ascii="仿宋_GB2312" w:hAnsi="仿宋_GB2312" w:cs="仿宋_GB2312" w:eastAsia="仿宋_GB2312"/>
                <w:sz w:val="24"/>
              </w:rPr>
              <w:t xml:space="preserve">A4 </w:t>
            </w:r>
            <w:r>
              <w:rPr>
                <w:rFonts w:ascii="仿宋_GB2312" w:hAnsi="仿宋_GB2312" w:cs="仿宋_GB2312" w:eastAsia="仿宋_GB2312"/>
                <w:sz w:val="24"/>
              </w:rPr>
              <w:t>及电子版</w:t>
            </w:r>
            <w:r>
              <w:rPr>
                <w:rFonts w:ascii="仿宋_GB2312" w:hAnsi="仿宋_GB2312" w:cs="仿宋_GB2312" w:eastAsia="仿宋_GB2312"/>
                <w:sz w:val="24"/>
              </w:rPr>
              <w:t>dwg</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w:t>
            </w:r>
          </w:p>
          <w:p>
            <w:pPr>
              <w:pStyle w:val="null3"/>
              <w:spacing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、成果文件的份数要求：每条路需提供正式纸质版初步设计文件（图纸</w:t>
            </w:r>
            <w:r>
              <w:rPr>
                <w:rFonts w:ascii="仿宋_GB2312" w:hAnsi="仿宋_GB2312" w:cs="仿宋_GB2312" w:eastAsia="仿宋_GB2312"/>
                <w:sz w:val="24"/>
              </w:rPr>
              <w:t>A3</w:t>
            </w:r>
            <w:r>
              <w:rPr>
                <w:rFonts w:ascii="仿宋_GB2312" w:hAnsi="仿宋_GB2312" w:cs="仿宋_GB2312" w:eastAsia="仿宋_GB2312"/>
                <w:sz w:val="24"/>
              </w:rPr>
              <w:t>、概算文本</w:t>
            </w:r>
            <w:r>
              <w:rPr>
                <w:rFonts w:ascii="仿宋_GB2312" w:hAnsi="仿宋_GB2312" w:cs="仿宋_GB2312" w:eastAsia="仿宋_GB2312"/>
                <w:sz w:val="24"/>
              </w:rPr>
              <w:t>A4</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套，与纸质报告相一致的扫描盖章的电子文件</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spacing w:after="105"/>
              <w:ind w:firstLine="482"/>
              <w:jc w:val="both"/>
            </w:pPr>
            <w:r>
              <w:rPr>
                <w:rFonts w:ascii="仿宋_GB2312" w:hAnsi="仿宋_GB2312" w:cs="仿宋_GB2312" w:eastAsia="仿宋_GB2312"/>
                <w:sz w:val="24"/>
                <w:b/>
              </w:rPr>
              <w:t>五、商务要求</w:t>
            </w:r>
          </w:p>
          <w:p>
            <w:pPr>
              <w:pStyle w:val="null3"/>
              <w:spacing w:after="105"/>
              <w:ind w:firstLine="480"/>
              <w:jc w:val="both"/>
            </w:pPr>
            <w:r>
              <w:rPr>
                <w:rFonts w:ascii="仿宋_GB2312" w:hAnsi="仿宋_GB2312" w:cs="仿宋_GB2312" w:eastAsia="仿宋_GB2312"/>
                <w:sz w:val="24"/>
              </w:rPr>
              <w:t>（一）服务期：成交供应商应在合同签订后尽快安排人员与采购单位就服务工作进行安排、部署，采购人提供条件及全部资料齐全后</w:t>
            </w:r>
            <w:r>
              <w:rPr>
                <w:rFonts w:ascii="仿宋_GB2312" w:hAnsi="仿宋_GB2312" w:cs="仿宋_GB2312" w:eastAsia="仿宋_GB2312"/>
                <w:sz w:val="24"/>
              </w:rPr>
              <w:t>30</w:t>
            </w:r>
            <w:r>
              <w:rPr>
                <w:rFonts w:ascii="仿宋_GB2312" w:hAnsi="仿宋_GB2312" w:cs="仿宋_GB2312" w:eastAsia="仿宋_GB2312"/>
                <w:sz w:val="24"/>
              </w:rPr>
              <w:t>个工作日内完成初步设计编制工作。</w:t>
            </w:r>
          </w:p>
          <w:p>
            <w:pPr>
              <w:pStyle w:val="null3"/>
              <w:spacing w:after="105"/>
              <w:ind w:firstLine="480"/>
              <w:jc w:val="both"/>
            </w:pPr>
            <w:r>
              <w:rPr>
                <w:rFonts w:ascii="仿宋_GB2312" w:hAnsi="仿宋_GB2312" w:cs="仿宋_GB2312" w:eastAsia="仿宋_GB2312"/>
                <w:sz w:val="24"/>
              </w:rPr>
              <w:t>（二）款项结算：设计文件完成时采用一次性转账支付（成交供应商收到设计费后给采购人提供设计文件，并配合完成初步设计评审及审批工作）。</w:t>
            </w:r>
          </w:p>
          <w:p>
            <w:pPr>
              <w:pStyle w:val="null3"/>
              <w:spacing w:after="105"/>
              <w:ind w:firstLine="480"/>
              <w:jc w:val="both"/>
            </w:pPr>
            <w:r>
              <w:rPr>
                <w:rFonts w:ascii="仿宋_GB2312" w:hAnsi="仿宋_GB2312" w:cs="仿宋_GB2312" w:eastAsia="仿宋_GB2312"/>
                <w:sz w:val="24"/>
              </w:rPr>
              <w:t>（三）该项目报价含税及完成本项目服务内容所发生的一切费用，不受市场价格变化的影响。</w:t>
            </w:r>
          </w:p>
          <w:p>
            <w:pPr>
              <w:pStyle w:val="null3"/>
              <w:spacing w:after="105"/>
              <w:ind w:firstLine="482"/>
              <w:jc w:val="both"/>
            </w:pPr>
            <w:r>
              <w:rPr>
                <w:rFonts w:ascii="仿宋_GB2312" w:hAnsi="仿宋_GB2312" w:cs="仿宋_GB2312" w:eastAsia="仿宋_GB2312"/>
                <w:sz w:val="24"/>
                <w:b/>
              </w:rPr>
              <w:t>六、其他</w:t>
            </w:r>
          </w:p>
          <w:p>
            <w:pPr>
              <w:pStyle w:val="null3"/>
              <w:ind w:firstLine="482"/>
              <w:jc w:val="both"/>
            </w:pPr>
            <w:r>
              <w:rPr>
                <w:rFonts w:ascii="仿宋_GB2312" w:hAnsi="仿宋_GB2312" w:cs="仿宋_GB2312" w:eastAsia="仿宋_GB2312"/>
                <w:sz w:val="24"/>
                <w:b/>
              </w:rPr>
              <w:t>验收</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、成交供应商对最终的服务质量负完全责任。</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、验收依据：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）国家有关的验收标准及规范；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成交供应商应在合同签订后尽快安排人员与采购单位就服务工作进行安排、部署，采购人提供条件及全部资料齐全后30个工作日内完成初步设计编制工作。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设计文件完成后（成交供应商收到设计费后给采购人提供设计文件，并配合完成初步设计评审及审批工作）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投标文件，同时，中标供应商领取中标通知书时，应线下提交纸质版投标文件，正本壹份、副本贰套至代理机构。 线上电子投标文件与纸质投标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工程设计综合甲级资质，或市政行业工程设计乙级及以上资质，或市政行业（燃气工程、轨道交通工程除外）乙级及以上资质，或市政行业（道路工程）专业丙级及以上资质及市政行业（排水工程）专业丙级及以上资质，并在人员、设备、资金等方面具备相应的设计能力。</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供应商拟派项目负责人具备市政工程相关专业的高级职称，且在本单位任职（提供相应证明材料）。</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对项目的理解及认识</w:t>
            </w:r>
          </w:p>
        </w:tc>
        <w:tc>
          <w:tcPr>
            <w:tcW w:type="dxa" w:w="2492"/>
          </w:tcPr>
          <w:p>
            <w:pPr>
              <w:pStyle w:val="null3"/>
            </w:pPr>
            <w:r>
              <w:rPr>
                <w:rFonts w:ascii="仿宋_GB2312" w:hAnsi="仿宋_GB2312" w:cs="仿宋_GB2312" w:eastAsia="仿宋_GB2312"/>
              </w:rPr>
              <w:t>包括供应商对制定技术指南，对技术指南与缺陷相互关系的认识及法律法规的理解和实践经验。 方案内容科学合理、针对性强、可行性强、符合实际情况的计12分； 方案内容齐全、有一定针对性、可行性的计8分； 方案内容基本齐全，针对性、可行性一般计4分； 方案内容不齐全，没有可行性计2分。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实施方案的编制</w:t>
            </w:r>
          </w:p>
        </w:tc>
        <w:tc>
          <w:tcPr>
            <w:tcW w:type="dxa" w:w="2492"/>
          </w:tcPr>
          <w:p>
            <w:pPr>
              <w:pStyle w:val="null3"/>
            </w:pPr>
            <w:r>
              <w:rPr>
                <w:rFonts w:ascii="仿宋_GB2312" w:hAnsi="仿宋_GB2312" w:cs="仿宋_GB2312" w:eastAsia="仿宋_GB2312"/>
              </w:rPr>
              <w:t>包括技术指南编制的依据、编制的方式、编制场所、编制的时间安排等。 方案内容科学合理、针对性强、可行性强、符合实际情况的计12分； 方案内容齐全、有一定针对性、可行性的计8分； 方案内容基本齐全，针对性、可行性一般计4分； 方案内容不齐全，没有可行性计2分。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项目服务标准、服务质量保障措施</w:t>
            </w:r>
          </w:p>
        </w:tc>
        <w:tc>
          <w:tcPr>
            <w:tcW w:type="dxa" w:w="2492"/>
          </w:tcPr>
          <w:p>
            <w:pPr>
              <w:pStyle w:val="null3"/>
            </w:pPr>
            <w:r>
              <w:rPr>
                <w:rFonts w:ascii="仿宋_GB2312" w:hAnsi="仿宋_GB2312" w:cs="仿宋_GB2312" w:eastAsia="仿宋_GB2312"/>
              </w:rPr>
              <w:t>项目服务标准、服务质量保障措施，主要评审其合理性、具体性及可操作性。 措施内容完善、技术组织先进、合理、环境保护措施有针对性的计10分； 技术组织较合理、环境保护措施有一定针对性的计7分； 技术组织一般、环境保护措施一般的计4分； 只提供了技术组织/环境保护措施之一的计2分。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服务保障能力</w:t>
            </w:r>
          </w:p>
        </w:tc>
        <w:tc>
          <w:tcPr>
            <w:tcW w:type="dxa" w:w="2492"/>
          </w:tcPr>
          <w:p>
            <w:pPr>
              <w:pStyle w:val="null3"/>
            </w:pPr>
            <w:r>
              <w:rPr>
                <w:rFonts w:ascii="仿宋_GB2312" w:hAnsi="仿宋_GB2312" w:cs="仿宋_GB2312" w:eastAsia="仿宋_GB2312"/>
              </w:rPr>
              <w:t>根据供应商的综合服务支撑能力情况以及为完成本项目制定周密的保障措施。 措施内容完善、技术组织先进、合理、环境保护措施有针对性的计10分； 技术组织较合理、环境保护措施有一定针对性的计7分； 技术组织一般、环境保护措施一般的计4分； 只提供了技术组织/环境保护措施之一的计2分。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供应商根据本项目特点，提供具有针对性、切实、可行性、有效性的合理化建议。 合理化建议内容科学合理、针对性强、可行性强、符合实际情况的计10分； 合理化建议内容齐全、有一定针对性、可行性的计7分； 合理化建议内容基本齐全，针对性、可行性一般计4分； 合理化建议内容不齐全，没有可行性计2分。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供应商根据项目工作特点，提供工作保密措施情况。 保密措施科学合理、全面，实施性强，有针对性计6分； 保密措施较科学合理、较全面，有一定实施性计4分； 保密措施基本合理、全面，实施性一般计2分； 有保密措施，实施性较差计1分。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拟投入本项目的项目负责人具有本科及以上学历计3分，具有大专学历计2分，其他不得分。提供项目负责人相关证件复印件。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拟投入本项目的项目负责人具有丰富的工作经验，能够带领及引导队人员顺利完成项目,并达到采购人要求。（以中标（成交）通知书或设计合同为准，时间以标通知书鉴发时间或设计合同签订时间为准，项目负责人姓名以设计合同或中标通知书中约定的负责人为准，设计合同或中标通知书中无法体现拟派项目设计负责人信息时，以该项目建设单位出具的加盖该项目建设单位公章的相关证明材料中负责人信息为准）。每有1项得3分，最多得3分。 注：项目负责人业绩与企业业绩重复时，不重复得分。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拟派项目团队成员情况</w:t>
            </w:r>
          </w:p>
        </w:tc>
        <w:tc>
          <w:tcPr>
            <w:tcW w:type="dxa" w:w="2492"/>
          </w:tcPr>
          <w:p>
            <w:pPr>
              <w:pStyle w:val="null3"/>
            </w:pPr>
            <w:r>
              <w:rPr>
                <w:rFonts w:ascii="仿宋_GB2312" w:hAnsi="仿宋_GB2312" w:cs="仿宋_GB2312" w:eastAsia="仿宋_GB2312"/>
              </w:rPr>
              <w:t>拟投入项目咨询团队有详细的人员配备方案、人员安排有具体方案，分工合理、责任明确，能确保项目顺利实施。 人员配备合理、科学，专业齐全，可行性强，完全满足项目要求的得10分；人员配备较合理、科学，专业较齐全，可行性较强，满足项目要求的，得7分；人员配备不太合理、科学，专业基本齐全，基本满足项目要求的，得4分；人员配备不合理，专业不满足项目要求的，得2分；需提供本次服务管理人员配备情况表（须提供配备人员相关资格证书、身份证、学历等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后续技术服务方案及承诺，根据提供的各项服务承诺，工作进度、质量、工期及其他方面实质性承诺。 服务承诺可操作性强、细节描述详细、完整优越计8分；有相对的操作性、承诺内容符合项目情况计6分； 服务承诺内容一般，基本符合项目情况的计4分； 服务承诺内容不符合项目情况，实施性差，计2分，服务内容未提供不得分。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供应商需提供近三年来（2023年1月1日至今）类似业绩证明材料，每提供1个业绩得2分；最高得6分（附合同协议书或中标通知书复印件，以合同签订时间或中标通知书签发日期为准）。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满足磋商文件要求且最终磋商报价最低的供应商的价格为评标基准价，其价格分为满分。其他供应商的价格分统一按照下列公式计算： 磋商报价得分=（评标基准价/最终磋商报价）×价格权值×100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