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版本号：慧科ZX-CG01014BF20260121001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雁塔区政务服务中心新增政务服务外包项目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慧科ZX-CG01014BF</w:t>
      </w:r>
      <w:r>
        <w:br/>
      </w:r>
      <w:r>
        <w:br/>
      </w:r>
      <w:r>
        <w:br/>
      </w:r>
    </w:p>
    <w:p>
      <w:pPr>
        <w:pStyle w:val="null3"/>
        <w:jc w:val="center"/>
        <w:outlineLvl w:val="2"/>
      </w:pPr>
      <w:r>
        <w:rPr>
          <w:rFonts w:ascii="仿宋_GB2312" w:hAnsi="仿宋_GB2312" w:cs="仿宋_GB2312" w:eastAsia="仿宋_GB2312"/>
          <w:sz w:val="28"/>
          <w:b/>
        </w:rPr>
        <w:t>西安市雁塔区行政审批服务局</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西安市雁塔区行政审批服务局</w:t>
      </w:r>
      <w:r>
        <w:rPr>
          <w:rFonts w:ascii="仿宋_GB2312" w:hAnsi="仿宋_GB2312" w:cs="仿宋_GB2312" w:eastAsia="仿宋_GB2312"/>
        </w:rPr>
        <w:t>委托，拟对</w:t>
      </w:r>
      <w:r>
        <w:rPr>
          <w:rFonts w:ascii="仿宋_GB2312" w:hAnsi="仿宋_GB2312" w:cs="仿宋_GB2312" w:eastAsia="仿宋_GB2312"/>
        </w:rPr>
        <w:t>雁塔区政务服务中心新增政务服务外包项目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慧科ZX-CG01014BF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雁塔区政务服务中心新增政务服务外包项目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雁塔区政务服务中心新增政务服务外包项目1项，具体详见招标文件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采购包1（雁塔区政务服务中心新增政务服务外包项目）：属于专门面向中小企业采购。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2024年经审计的完整财务审计报告（应是会计师事务所出具的赋码审计报告）或投标文件递交截止时间近三个月内基本开户银行出具的资信证明及基本开户银行相关证明资料或政府采购专业担保机构出具的投标担保函，（事业单位可不提供）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及诚信履约的书面声明函：具有履行合同所必需的设备和专业技术能力及诚信履约的书面声明函，供应商需在项目电子化交易系统中按要求上传相应证明文件并进行电子签章。</w:t>
      </w:r>
    </w:p>
    <w:p>
      <w:pPr>
        <w:pStyle w:val="null3"/>
      </w:pPr>
      <w:r>
        <w:rPr>
          <w:rFonts w:ascii="仿宋_GB2312" w:hAnsi="仿宋_GB2312" w:cs="仿宋_GB2312" w:eastAsia="仿宋_GB2312"/>
        </w:rPr>
        <w:t>6、信用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81160013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西安市高新区锦业一路56号西安研祥城市广场 C座3楼C-306室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李小刚、樊军辉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029-89284578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代理服务费收费标准：1、本项目招标代理服务费以中标金额作为收费基数，参照计价格[2002]1980号中服务类下浮20%执行。 2、中标单位在领取中标通知书之前，须向代理机构支付招标代理服务费。 招标代理服务费以转账或现金形式缴纳至以下账户： 开户名称：陕西慧科工程管理咨询有限公司 开户银行：交通银行股份有限公司西安光华路支行 账 号：611301135013001841428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西安市雁塔区行政审批服务局</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西安市雁塔区行政审批服务局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联系人：李小刚、樊军辉</w:t>
      </w:r>
    </w:p>
    <w:p>
      <w:pPr>
        <w:pStyle w:val="null3"/>
      </w:pPr>
      <w:r>
        <w:rPr>
          <w:rFonts w:ascii="仿宋_GB2312" w:hAnsi="仿宋_GB2312" w:cs="仿宋_GB2312" w:eastAsia="仿宋_GB2312"/>
        </w:rPr>
        <w:t>联系电话：029-89284578</w:t>
      </w:r>
    </w:p>
    <w:p>
      <w:pPr>
        <w:pStyle w:val="null3"/>
      </w:pPr>
      <w:r>
        <w:rPr>
          <w:rFonts w:ascii="仿宋_GB2312" w:hAnsi="仿宋_GB2312" w:cs="仿宋_GB2312" w:eastAsia="仿宋_GB2312"/>
        </w:rPr>
        <w:t>地址：西安市高新区锦业一路56号西安研祥城市广场 C座3楼C-306室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雁塔区政务服务中心新增政务服务外包项目1项，具体详见招标文件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6,340,000.00</w:t>
      </w:r>
    </w:p>
    <w:p>
      <w:pPr>
        <w:pStyle w:val="null3"/>
      </w:pPr>
      <w:r>
        <w:rPr>
          <w:rFonts w:ascii="仿宋_GB2312" w:hAnsi="仿宋_GB2312" w:cs="仿宋_GB2312" w:eastAsia="仿宋_GB2312"/>
        </w:rPr>
        <w:t>采购包最高限价（元）: 6,340,000.00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新增政务服务外包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标的名称：新增政务服务外包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一、项目概况</w:t>
            </w:r>
          </w:p>
          <w:p>
            <w:pPr>
              <w:pStyle w:val="null3"/>
              <w:ind w:firstLine="420"/>
              <w:jc w:val="left"/>
            </w:pPr>
            <w:r>
              <w:rPr>
                <w:rFonts w:ascii="仿宋_GB2312" w:hAnsi="仿宋_GB2312" w:cs="仿宋_GB2312" w:eastAsia="仿宋_GB2312"/>
                <w:sz w:val="21"/>
              </w:rPr>
              <w:t>本项目的服务内容以纳税人缴费人涉税费需求为导向，紧紧围绕</w:t>
            </w:r>
            <w:r>
              <w:rPr>
                <w:rFonts w:ascii="仿宋_GB2312" w:hAnsi="仿宋_GB2312" w:cs="仿宋_GB2312" w:eastAsia="仿宋_GB2312"/>
                <w:sz w:val="21"/>
              </w:rPr>
              <w:t>“高效办成一件事”，设置“前台”、“中台”、“后台”三大功能区域，按需配置特色功能区域人员“前台”作为服务纳税人的第一线，提供响应个性化诉求、处理复杂业务、争议矛盾解决、满足特殊人员需要等服务场景。“中台”负责征纳互动“办问协同”服务、对外公开电话受理、税费诉求收集等业务。“后台”加强运营监控，强化办税服务运行数据、进厅纳税人热点诉求等分析，统筹调度各类服务资源，推进实现服务资源优化配置，推动服务渠道扎口运营管理。</w:t>
            </w:r>
          </w:p>
          <w:p>
            <w:pPr>
              <w:pStyle w:val="null3"/>
              <w:jc w:val="left"/>
            </w:pPr>
            <w:r>
              <w:rPr>
                <w:rFonts w:ascii="仿宋_GB2312" w:hAnsi="仿宋_GB2312" w:cs="仿宋_GB2312" w:eastAsia="仿宋_GB2312"/>
                <w:sz w:val="21"/>
                <w:b/>
              </w:rPr>
              <w:t>二、服务内容</w:t>
            </w:r>
          </w:p>
          <w:p>
            <w:pPr>
              <w:pStyle w:val="null3"/>
              <w:ind w:firstLine="420"/>
              <w:jc w:val="left"/>
            </w:pPr>
            <w:r>
              <w:rPr>
                <w:rFonts w:ascii="仿宋_GB2312" w:hAnsi="仿宋_GB2312" w:cs="仿宋_GB2312" w:eastAsia="仿宋_GB2312"/>
                <w:sz w:val="21"/>
              </w:rPr>
              <w:t>工作时间（含节假日）：上午</w:t>
            </w:r>
            <w:r>
              <w:rPr>
                <w:rFonts w:ascii="仿宋_GB2312" w:hAnsi="仿宋_GB2312" w:cs="仿宋_GB2312" w:eastAsia="仿宋_GB2312"/>
                <w:sz w:val="21"/>
              </w:rPr>
              <w:t>9：00—12:00；下午13:00—17：00。法定节假日按国家规定执行，享受年假。</w:t>
            </w:r>
          </w:p>
          <w:p>
            <w:pPr>
              <w:pStyle w:val="null3"/>
              <w:ind w:firstLine="420"/>
              <w:jc w:val="left"/>
            </w:pPr>
            <w:r>
              <w:rPr>
                <w:rFonts w:ascii="仿宋_GB2312" w:hAnsi="仿宋_GB2312" w:cs="仿宋_GB2312" w:eastAsia="仿宋_GB2312"/>
                <w:sz w:val="21"/>
              </w:rPr>
              <w:t>（一）前台</w:t>
            </w:r>
          </w:p>
          <w:p>
            <w:pPr>
              <w:pStyle w:val="null3"/>
              <w:ind w:firstLine="420"/>
              <w:jc w:val="left"/>
            </w:pPr>
            <w:r>
              <w:rPr>
                <w:rFonts w:ascii="仿宋_GB2312" w:hAnsi="仿宋_GB2312" w:cs="仿宋_GB2312" w:eastAsia="仿宋_GB2312"/>
                <w:sz w:val="21"/>
              </w:rPr>
              <w:t>作为办税服务厅服务纳税人的第一线，提供响应个性化诉求、处理复杂业务、争议矛盾解决、满足特殊人员需要等服务场景。设置有导税台、自助办税区、简事快办区、网上办税区、争议调解室、自然人服务工作室、涉税中介服务工作室、复杂业务处理等功能区域，通过优化区域设置，提高办税服务厅运行效率。</w:t>
            </w:r>
          </w:p>
          <w:p>
            <w:pPr>
              <w:pStyle w:val="null3"/>
              <w:ind w:firstLine="420"/>
              <w:jc w:val="left"/>
            </w:pPr>
            <w:r>
              <w:rPr>
                <w:rFonts w:ascii="仿宋_GB2312" w:hAnsi="仿宋_GB2312" w:cs="仿宋_GB2312" w:eastAsia="仿宋_GB2312"/>
                <w:sz w:val="21"/>
              </w:rPr>
              <w:t>1、导税台：负责为纳税人提供准确、及时的咨询服务、业务指引、简事快办、资料预审、表单填写辅导等方面服务。</w:t>
            </w:r>
          </w:p>
          <w:p>
            <w:pPr>
              <w:pStyle w:val="null3"/>
              <w:ind w:firstLine="420"/>
              <w:jc w:val="left"/>
            </w:pPr>
            <w:r>
              <w:rPr>
                <w:rFonts w:ascii="仿宋_GB2312" w:hAnsi="仿宋_GB2312" w:cs="仿宋_GB2312" w:eastAsia="仿宋_GB2312"/>
                <w:sz w:val="21"/>
              </w:rPr>
              <w:t>2、自助办税区：负责辅导纳税人、缴费人使用自助机等设备，扩展服务的触角向办税缴费服务需求密集区域投放（如商圈、银行、园区），探索利用集成式自助终端提供“24小时不打烊”服务。</w:t>
            </w:r>
          </w:p>
          <w:p>
            <w:pPr>
              <w:pStyle w:val="null3"/>
              <w:ind w:firstLine="420"/>
              <w:jc w:val="left"/>
            </w:pPr>
            <w:r>
              <w:rPr>
                <w:rFonts w:ascii="仿宋_GB2312" w:hAnsi="仿宋_GB2312" w:cs="仿宋_GB2312" w:eastAsia="仿宋_GB2312"/>
                <w:sz w:val="21"/>
              </w:rPr>
              <w:t>3、网上办税区：负责纳税人、缴费人线上业务流程“一对一”“点对点”的培训辅导。</w:t>
            </w:r>
          </w:p>
          <w:p>
            <w:pPr>
              <w:pStyle w:val="null3"/>
              <w:ind w:firstLine="420"/>
              <w:jc w:val="left"/>
            </w:pPr>
            <w:r>
              <w:rPr>
                <w:rFonts w:ascii="仿宋_GB2312" w:hAnsi="仿宋_GB2312" w:cs="仿宋_GB2312" w:eastAsia="仿宋_GB2312"/>
                <w:sz w:val="21"/>
              </w:rPr>
              <w:t>4、争议调解室：负责集中处理涉税费复杂事项，预防和化解各类税费矛盾纠纷，实现纳税人诉求有效收集、快速响应和及时反馈。</w:t>
            </w:r>
          </w:p>
          <w:p>
            <w:pPr>
              <w:pStyle w:val="null3"/>
              <w:ind w:firstLine="420"/>
              <w:jc w:val="left"/>
            </w:pPr>
            <w:r>
              <w:rPr>
                <w:rFonts w:ascii="仿宋_GB2312" w:hAnsi="仿宋_GB2312" w:cs="仿宋_GB2312" w:eastAsia="仿宋_GB2312"/>
                <w:sz w:val="21"/>
              </w:rPr>
              <w:t>5、自然人服务工作室：负责代开发票、契税业务办理，开展“一对一”“点对点”政策宣讲、业务辅导。</w:t>
            </w:r>
          </w:p>
          <w:p>
            <w:pPr>
              <w:pStyle w:val="null3"/>
              <w:ind w:firstLine="420"/>
              <w:jc w:val="left"/>
            </w:pPr>
            <w:r>
              <w:rPr>
                <w:rFonts w:ascii="仿宋_GB2312" w:hAnsi="仿宋_GB2312" w:cs="仿宋_GB2312" w:eastAsia="仿宋_GB2312"/>
                <w:sz w:val="21"/>
              </w:rPr>
              <w:t>6、涉税中介服务工作室。负责服务辖区涉税中介机构，助力中、小微企业发展。</w:t>
            </w:r>
          </w:p>
          <w:p>
            <w:pPr>
              <w:pStyle w:val="null3"/>
              <w:ind w:firstLine="420"/>
              <w:jc w:val="left"/>
            </w:pPr>
            <w:r>
              <w:rPr>
                <w:rFonts w:ascii="仿宋_GB2312" w:hAnsi="仿宋_GB2312" w:cs="仿宋_GB2312" w:eastAsia="仿宋_GB2312"/>
                <w:sz w:val="21"/>
              </w:rPr>
              <w:t>7、复杂业务处理：负责纳税人缴费人窗口业务兜底服务。</w:t>
            </w:r>
          </w:p>
          <w:p>
            <w:pPr>
              <w:pStyle w:val="null3"/>
              <w:ind w:firstLine="420"/>
              <w:jc w:val="left"/>
            </w:pPr>
            <w:r>
              <w:rPr>
                <w:rFonts w:ascii="仿宋_GB2312" w:hAnsi="仿宋_GB2312" w:cs="仿宋_GB2312" w:eastAsia="仿宋_GB2312"/>
                <w:sz w:val="21"/>
              </w:rPr>
              <w:t>（二）中台</w:t>
            </w:r>
          </w:p>
          <w:p>
            <w:pPr>
              <w:pStyle w:val="null3"/>
              <w:ind w:firstLine="420"/>
              <w:jc w:val="left"/>
            </w:pPr>
            <w:r>
              <w:rPr>
                <w:rFonts w:ascii="仿宋_GB2312" w:hAnsi="仿宋_GB2312" w:cs="仿宋_GB2312" w:eastAsia="仿宋_GB2312"/>
                <w:sz w:val="21"/>
              </w:rPr>
              <w:t>负责征纳互动</w:t>
            </w:r>
            <w:r>
              <w:rPr>
                <w:rFonts w:ascii="仿宋_GB2312" w:hAnsi="仿宋_GB2312" w:cs="仿宋_GB2312" w:eastAsia="仿宋_GB2312"/>
                <w:sz w:val="21"/>
              </w:rPr>
              <w:t>“办问协同”服务、对外公开电话受理、税费诉求收集等业务。为线上办、远程办、就近办做好强有力的服务支撑。</w:t>
            </w:r>
          </w:p>
          <w:p>
            <w:pPr>
              <w:pStyle w:val="null3"/>
              <w:ind w:firstLine="420"/>
              <w:jc w:val="left"/>
            </w:pPr>
            <w:r>
              <w:rPr>
                <w:rFonts w:ascii="仿宋_GB2312" w:hAnsi="仿宋_GB2312" w:cs="仿宋_GB2312" w:eastAsia="仿宋_GB2312"/>
                <w:sz w:val="21"/>
              </w:rPr>
              <w:t>（三）后台</w:t>
            </w:r>
          </w:p>
          <w:p>
            <w:pPr>
              <w:pStyle w:val="null3"/>
              <w:ind w:firstLine="420"/>
              <w:jc w:val="left"/>
            </w:pPr>
            <w:r>
              <w:rPr>
                <w:rFonts w:ascii="仿宋_GB2312" w:hAnsi="仿宋_GB2312" w:cs="仿宋_GB2312" w:eastAsia="仿宋_GB2312"/>
                <w:sz w:val="21"/>
              </w:rPr>
              <w:t>负责运营监控，纳税人个性化诉求、风险应对、风险防控、事务管理、政务管理等方面服务。</w:t>
            </w:r>
          </w:p>
          <w:p>
            <w:pPr>
              <w:pStyle w:val="null3"/>
              <w:jc w:val="left"/>
            </w:pPr>
            <w:r>
              <w:rPr>
                <w:rFonts w:ascii="仿宋_GB2312" w:hAnsi="仿宋_GB2312" w:cs="仿宋_GB2312" w:eastAsia="仿宋_GB2312"/>
                <w:sz w:val="21"/>
                <w:b/>
              </w:rPr>
              <w:t>三、服务要求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本项目服务地点为雁塔区政务服务中心三楼税务专区，</w:t>
            </w:r>
            <w:r>
              <w:rPr>
                <w:rFonts w:ascii="仿宋_GB2312" w:hAnsi="仿宋_GB2312" w:cs="仿宋_GB2312" w:eastAsia="仿宋_GB2312"/>
                <w:sz w:val="21"/>
              </w:rPr>
              <w:t>供应商</w:t>
            </w:r>
            <w:r>
              <w:rPr>
                <w:rFonts w:ascii="仿宋_GB2312" w:hAnsi="仿宋_GB2312" w:cs="仿宋_GB2312" w:eastAsia="仿宋_GB2312"/>
                <w:sz w:val="21"/>
              </w:rPr>
              <w:t>应统筹做好大厅管理工作。</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结合雁塔区税务局第一税务所运行实际情况需求，按照</w:t>
            </w:r>
            <w:r>
              <w:rPr>
                <w:rFonts w:ascii="仿宋_GB2312" w:hAnsi="仿宋_GB2312" w:cs="仿宋_GB2312" w:eastAsia="仿宋_GB2312"/>
                <w:sz w:val="21"/>
              </w:rPr>
              <w:t>“前台”、“中台”、“后台”三大功能区域，按需配置人员，全面保障各项服务。</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结合大厅运营工作实际情况，从考核管理、大厅服务、系统应用、后勤管理、保密制度、廉政管理等方面制定满足大厅运行需求的管理制度，有效提升服务标准化建设水平。</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结合大厅运营工作实际情况，从安全保障、突发事件、事故处理等方面制定应急处置方案，同时能积极配合采购人工作，在必要时提供应急服务。</w:t>
            </w:r>
          </w:p>
          <w:p>
            <w:pPr>
              <w:pStyle w:val="null3"/>
              <w:ind w:firstLine="422"/>
              <w:jc w:val="left"/>
            </w:pPr>
            <w:r>
              <w:rPr>
                <w:rFonts w:ascii="仿宋_GB2312" w:hAnsi="仿宋_GB2312" w:cs="仿宋_GB2312" w:eastAsia="仿宋_GB2312"/>
                <w:sz w:val="21"/>
                <w:b/>
              </w:rPr>
              <w:t>5、服务期：一年，以双方签订合同时约定的起止日期为准。</w:t>
            </w:r>
          </w:p>
          <w:p>
            <w:pPr>
              <w:pStyle w:val="null3"/>
              <w:ind w:firstLine="422"/>
              <w:jc w:val="left"/>
            </w:pPr>
            <w:r>
              <w:rPr>
                <w:rFonts w:ascii="仿宋_GB2312" w:hAnsi="仿宋_GB2312" w:cs="仿宋_GB2312" w:eastAsia="仿宋_GB2312"/>
                <w:sz w:val="21"/>
                <w:b/>
              </w:rPr>
              <w:t>6、服务地点：采购人指定地点</w:t>
            </w:r>
          </w:p>
          <w:p>
            <w:pPr>
              <w:pStyle w:val="null3"/>
              <w:ind w:firstLine="420"/>
              <w:jc w:val="left"/>
            </w:pPr>
            <w:r>
              <w:rPr>
                <w:rFonts w:ascii="仿宋_GB2312" w:hAnsi="仿宋_GB2312" w:cs="仿宋_GB2312" w:eastAsia="仿宋_GB2312"/>
                <w:sz w:val="21"/>
              </w:rPr>
              <w:t>7、人员要求</w:t>
            </w:r>
          </w:p>
          <w:p>
            <w:pPr>
              <w:pStyle w:val="null3"/>
              <w:ind w:firstLine="420"/>
              <w:jc w:val="left"/>
            </w:pPr>
            <w:r>
              <w:rPr>
                <w:rFonts w:ascii="仿宋_GB2312" w:hAnsi="仿宋_GB2312" w:cs="仿宋_GB2312" w:eastAsia="仿宋_GB2312"/>
                <w:sz w:val="21"/>
              </w:rPr>
              <w:t>7.1人员数量及要求</w:t>
            </w:r>
          </w:p>
          <w:p>
            <w:pPr>
              <w:pStyle w:val="null3"/>
              <w:ind w:firstLine="420"/>
              <w:jc w:val="left"/>
            </w:pPr>
            <w:r>
              <w:rPr>
                <w:rFonts w:ascii="仿宋_GB2312" w:hAnsi="仿宋_GB2312" w:cs="仿宋_GB2312" w:eastAsia="仿宋_GB2312"/>
                <w:sz w:val="21"/>
              </w:rPr>
              <w:t>人员构成：区政务中心实习人员（雁塔区毕业</w:t>
            </w:r>
            <w:r>
              <w:rPr>
                <w:rFonts w:ascii="仿宋_GB2312" w:hAnsi="仿宋_GB2312" w:cs="仿宋_GB2312" w:eastAsia="仿宋_GB2312"/>
                <w:sz w:val="21"/>
              </w:rPr>
              <w:t>2年内未就业大学生）+中标供应商聘用人员（80人）， 以上人员均由中标供应商统一进行管理。其中，区政务中心实习人员中标供应商不支付工资。</w:t>
            </w:r>
          </w:p>
          <w:p>
            <w:pPr>
              <w:pStyle w:val="null3"/>
              <w:ind w:firstLine="420"/>
              <w:jc w:val="left"/>
            </w:pPr>
            <w:r>
              <w:rPr>
                <w:rFonts w:ascii="仿宋_GB2312" w:hAnsi="仿宋_GB2312" w:cs="仿宋_GB2312" w:eastAsia="仿宋_GB2312"/>
                <w:sz w:val="21"/>
              </w:rPr>
              <w:t>为了保证业务的无缝衔接，中标服务商应优先聘用现有的大厅服务人员及本科以上毕业</w:t>
            </w:r>
            <w:r>
              <w:rPr>
                <w:rFonts w:ascii="仿宋_GB2312" w:hAnsi="仿宋_GB2312" w:cs="仿宋_GB2312" w:eastAsia="仿宋_GB2312"/>
                <w:sz w:val="21"/>
              </w:rPr>
              <w:t>2年内未就业大学生。具体岗位需求如下：</w:t>
            </w:r>
          </w:p>
          <w:p>
            <w:pPr>
              <w:pStyle w:val="null3"/>
              <w:ind w:firstLine="422"/>
              <w:jc w:val="left"/>
            </w:pPr>
            <w:r>
              <w:rPr>
                <w:rFonts w:ascii="仿宋_GB2312" w:hAnsi="仿宋_GB2312" w:cs="仿宋_GB2312" w:eastAsia="仿宋_GB2312"/>
                <w:sz w:val="21"/>
                <w:b/>
              </w:rPr>
              <w:t>岗位人员配比统计表</w:t>
            </w:r>
          </w:p>
          <w:tbl>
            <w:tblPr>
              <w:tblInd w:type="dxa" w:w="105"/>
              <w:tblBorders>
                <w:top w:val="none" w:color="000000" w:sz="4"/>
                <w:left w:val="none" w:color="000000" w:sz="4"/>
                <w:bottom w:val="none" w:color="000000" w:sz="4"/>
                <w:right w:val="none" w:color="000000" w:sz="4"/>
                <w:insideH w:val="none"/>
                <w:insideV w:val="none"/>
              </w:tblBorders>
            </w:tblPr>
            <w:tblGrid>
              <w:gridCol w:w="541"/>
              <w:gridCol w:w="2616"/>
              <w:gridCol w:w="663"/>
            </w:tblGrid>
            <w:tr>
              <w:tc>
                <w:tcPr>
                  <w:tcW w:type="dxa" w:w="5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区域</w:t>
                  </w:r>
                </w:p>
              </w:tc>
              <w:tc>
                <w:tcPr>
                  <w:tcW w:type="dxa" w:w="261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服务事项</w:t>
                  </w:r>
                </w:p>
              </w:tc>
              <w:tc>
                <w:tcPr>
                  <w:tcW w:type="dxa" w:w="66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人数</w:t>
                  </w:r>
                </w:p>
              </w:tc>
            </w:tr>
            <w:tr>
              <w:tc>
                <w:tcPr>
                  <w:tcW w:type="dxa" w:w="54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前台</w:t>
                  </w: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导税区</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r>
            <w:tr>
              <w:tc>
                <w:tcPr>
                  <w:tcW w:type="dxa" w:w="541"/>
                  <w:vMerge/>
                  <w:tcBorders>
                    <w:top w:val="none" w:color="000000" w:sz="4"/>
                    <w:left w:val="single" w:color="000000" w:sz="4"/>
                    <w:bottom w:val="none" w:color="000000" w:sz="4"/>
                    <w:right w:val="single" w:color="000000" w:sz="4"/>
                  </w:tcBorders>
                </w:tcP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自助区</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r>
            <w:tr>
              <w:tc>
                <w:tcPr>
                  <w:tcW w:type="dxa" w:w="541"/>
                  <w:vMerge/>
                  <w:tcBorders>
                    <w:top w:val="none" w:color="000000" w:sz="4"/>
                    <w:left w:val="single" w:color="000000" w:sz="4"/>
                    <w:bottom w:val="none" w:color="000000" w:sz="4"/>
                    <w:right w:val="single" w:color="000000" w:sz="4"/>
                  </w:tcBorders>
                </w:tcP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网办区</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r>
            <w:tr>
              <w:tc>
                <w:tcPr>
                  <w:tcW w:type="dxa" w:w="541"/>
                  <w:vMerge/>
                  <w:tcBorders>
                    <w:top w:val="none" w:color="000000" w:sz="4"/>
                    <w:left w:val="single" w:color="000000" w:sz="4"/>
                    <w:bottom w:val="none" w:color="000000" w:sz="4"/>
                    <w:right w:val="single" w:color="000000" w:sz="4"/>
                  </w:tcBorders>
                </w:tcP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争议调解室</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r>
            <w:tr>
              <w:tc>
                <w:tcPr>
                  <w:tcW w:type="dxa" w:w="541"/>
                  <w:vMerge/>
                  <w:tcBorders>
                    <w:top w:val="none" w:color="000000" w:sz="4"/>
                    <w:left w:val="single" w:color="000000" w:sz="4"/>
                    <w:bottom w:val="none" w:color="000000" w:sz="4"/>
                    <w:right w:val="single" w:color="000000" w:sz="4"/>
                  </w:tcBorders>
                </w:tcP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自然人服务工作室</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r>
            <w:tr>
              <w:tc>
                <w:tcPr>
                  <w:tcW w:type="dxa" w:w="541"/>
                  <w:vMerge/>
                  <w:tcBorders>
                    <w:top w:val="none" w:color="000000" w:sz="4"/>
                    <w:left w:val="single" w:color="000000" w:sz="4"/>
                    <w:bottom w:val="none" w:color="000000" w:sz="4"/>
                    <w:right w:val="single" w:color="000000" w:sz="4"/>
                  </w:tcBorders>
                </w:tcP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涉税中介服务工作室</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r>
            <w:tr>
              <w:tc>
                <w:tcPr>
                  <w:tcW w:type="dxa" w:w="541"/>
                  <w:vMerge/>
                  <w:tcBorders>
                    <w:top w:val="none" w:color="000000" w:sz="4"/>
                    <w:left w:val="single" w:color="000000" w:sz="4"/>
                    <w:bottom w:val="none" w:color="000000" w:sz="4"/>
                    <w:right w:val="single" w:color="000000" w:sz="4"/>
                  </w:tcBorders>
                </w:tcP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复杂业务</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r>
            <w:tr>
              <w:tc>
                <w:tcPr>
                  <w:tcW w:type="dxa" w:w="5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中台</w:t>
                  </w: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征纳互动服务运营中心</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r>
            <w:tr>
              <w:tc>
                <w:tcPr>
                  <w:tcW w:type="dxa" w:w="54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后台</w:t>
                  </w: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风险应对</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r>
            <w:tr>
              <w:tc>
                <w:tcPr>
                  <w:tcW w:type="dxa" w:w="541"/>
                  <w:vMerge/>
                  <w:tcBorders>
                    <w:top w:val="none" w:color="000000" w:sz="4"/>
                    <w:left w:val="single" w:color="000000" w:sz="4"/>
                    <w:bottom w:val="none" w:color="000000" w:sz="4"/>
                    <w:right w:val="single" w:color="000000" w:sz="4"/>
                  </w:tcBorders>
                </w:tcP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风险防控</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r>
            <w:tr>
              <w:tc>
                <w:tcPr>
                  <w:tcW w:type="dxa" w:w="541"/>
                  <w:vMerge/>
                  <w:tcBorders>
                    <w:top w:val="none" w:color="000000" w:sz="4"/>
                    <w:left w:val="single" w:color="000000" w:sz="4"/>
                    <w:bottom w:val="none" w:color="000000" w:sz="4"/>
                    <w:right w:val="single" w:color="000000" w:sz="4"/>
                  </w:tcBorders>
                </w:tcP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事务管理</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r>
            <w:tr>
              <w:tc>
                <w:tcPr>
                  <w:tcW w:type="dxa" w:w="541"/>
                  <w:vMerge/>
                  <w:tcBorders>
                    <w:top w:val="none" w:color="000000" w:sz="4"/>
                    <w:left w:val="single" w:color="000000" w:sz="4"/>
                    <w:bottom w:val="none" w:color="000000" w:sz="4"/>
                    <w:right w:val="single" w:color="000000" w:sz="4"/>
                  </w:tcBorders>
                </w:tcP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政务管理</w:t>
                  </w: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r>
            <w:tr>
              <w:tc>
                <w:tcPr>
                  <w:tcW w:type="dxa" w:w="5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合计</w:t>
                  </w:r>
                </w:p>
              </w:tc>
              <w:tc>
                <w:tcPr>
                  <w:tcW w:type="dxa" w:w="26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80</w:t>
                  </w:r>
                </w:p>
              </w:tc>
            </w:tr>
          </w:tbl>
          <w:p>
            <w:pPr>
              <w:pStyle w:val="null3"/>
              <w:ind w:firstLine="420"/>
              <w:jc w:val="left"/>
            </w:pPr>
            <w:r>
              <w:rPr>
                <w:rFonts w:ascii="仿宋_GB2312" w:hAnsi="仿宋_GB2312" w:cs="仿宋_GB2312" w:eastAsia="仿宋_GB2312"/>
                <w:sz w:val="21"/>
              </w:rPr>
              <w:t>7.2招聘标准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1）政治素养良好，无犯罪违法违纪记录，严格遵守各项规章制度、保密制度、服务规范等；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2）普通高校全日制本科及以上学历，专业不限；</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3）身体健康，品行端正，积极上进，形象气质佳；</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4）熟练操作计算机和Office办公软件；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5）有责任心，有团队合作意识，服从管理；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6）掌握窗口服务基础知识，普通话标准，口齿清晰，口头表达能力强，有亲和力；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7）年龄35岁以下（含35岁），女性身高不低于160cm，男性身高不低于170cm；</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8）具有良好的服务意识和团队精神，具有较强的应变能力、沟通技巧、判断能力、学习及适应能力；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9）党员、退役军人、有政务服务工作经验者优先考虑，可适当放宽招聘标准。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10）人员招聘方案需报采购人审核同意后方可实施，并由采购人全程监督。</w:t>
            </w:r>
          </w:p>
          <w:p>
            <w:pPr>
              <w:pStyle w:val="null3"/>
              <w:ind w:firstLine="420"/>
              <w:jc w:val="left"/>
            </w:pPr>
            <w:r>
              <w:rPr>
                <w:rFonts w:ascii="仿宋_GB2312" w:hAnsi="仿宋_GB2312" w:cs="仿宋_GB2312" w:eastAsia="仿宋_GB2312"/>
                <w:sz w:val="21"/>
              </w:rPr>
              <w:t>7.3不得录入情形</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1）违反国家法律法规且受过刑事处罚的人员</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2）受到党纪政纪处分且影响期未结束的人员</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3）组织和参与宗教、邪教、封建迷信活动的人员</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4）政治素质和道德品质差，不履行法定义务，公益观念淡薄</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5）经商办企业、在企业兼职（任职）领取薪酬、奖金、津贴各类报酬</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6）经公安机关认定具有酒驾、醉驾、赌博违法行为人员</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7）患有严重疾病、无法正常工作的人员。</w:t>
            </w:r>
          </w:p>
          <w:p>
            <w:pPr>
              <w:pStyle w:val="null3"/>
              <w:ind w:firstLine="420"/>
              <w:jc w:val="left"/>
            </w:pPr>
            <w:r>
              <w:rPr>
                <w:rFonts w:ascii="仿宋_GB2312" w:hAnsi="仿宋_GB2312" w:cs="仿宋_GB2312" w:eastAsia="仿宋_GB2312"/>
                <w:sz w:val="21"/>
              </w:rPr>
              <w:t>7.4人员管理要求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供应商</w:t>
            </w:r>
            <w:r>
              <w:rPr>
                <w:rFonts w:ascii="仿宋_GB2312" w:hAnsi="仿宋_GB2312" w:cs="仿宋_GB2312" w:eastAsia="仿宋_GB2312"/>
                <w:sz w:val="21"/>
              </w:rPr>
              <w:t>应对招聘人员进行岗前能力培训，考核合格后方可正式上岗，并定期组织工作人员进行规章制度、形象礼仪、业务技能等方面的培训。</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供应商</w:t>
            </w:r>
            <w:r>
              <w:rPr>
                <w:rFonts w:ascii="仿宋_GB2312" w:hAnsi="仿宋_GB2312" w:cs="仿宋_GB2312" w:eastAsia="仿宋_GB2312"/>
                <w:sz w:val="21"/>
              </w:rPr>
              <w:t>如需更换驻场运行管理团队人员（项目经理、主管），必须提前</w:t>
            </w:r>
            <w:r>
              <w:rPr>
                <w:rFonts w:ascii="仿宋_GB2312" w:hAnsi="仿宋_GB2312" w:cs="仿宋_GB2312" w:eastAsia="仿宋_GB2312"/>
                <w:sz w:val="21"/>
              </w:rPr>
              <w:t>7天书面征得采购人同意。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3）员工工资根据岗位发放，工资定岗不定人。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4）窗口和导办工作人员建立持证上岗激励机制，持证工作人员工资应适度上浮。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5）按照大厅考核管理办法，明确人员奖励和处罚办法，每月对工作人员进行考核打分，根据评分结果，参照绩效考核标准发放工资。同时，对于评获区优秀称号的员工和班组予以一定的经济奖励。</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6）供应商</w:t>
            </w:r>
            <w:r>
              <w:rPr>
                <w:rFonts w:ascii="仿宋_GB2312" w:hAnsi="仿宋_GB2312" w:cs="仿宋_GB2312" w:eastAsia="仿宋_GB2312"/>
                <w:sz w:val="21"/>
              </w:rPr>
              <w:t>负责为本项目招聘的员工办理人事档案管理，签订劳动合同，工伤事故申报、认定、赔付处理等。劳动合同应在区政务服务中心进行备份。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7）供应商</w:t>
            </w:r>
            <w:r>
              <w:rPr>
                <w:rFonts w:ascii="仿宋_GB2312" w:hAnsi="仿宋_GB2312" w:cs="仿宋_GB2312" w:eastAsia="仿宋_GB2312"/>
                <w:sz w:val="21"/>
              </w:rPr>
              <w:t>负责处理合同期内所有劳务、劳资纠纷和调节管理纠纷，及时更换不能胜任工作的员工，或按照采购人要求辞退、调换不适合在区政务大厅工作的员工，维护区政务大厅正常工作秩序。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8）供应商</w:t>
            </w:r>
            <w:r>
              <w:rPr>
                <w:rFonts w:ascii="仿宋_GB2312" w:hAnsi="仿宋_GB2312" w:cs="仿宋_GB2312" w:eastAsia="仿宋_GB2312"/>
                <w:sz w:val="21"/>
              </w:rPr>
              <w:t>应保证大厅稳定运行，优先接收原运行服务单位自愿继续留用的人员，且不得在劳动合同中设置解约后竞业禁止或一定时间内不得从事同类行业或任何限制聘用员工再就业的条款。</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9）供应商</w:t>
            </w:r>
            <w:r>
              <w:rPr>
                <w:rFonts w:ascii="仿宋_GB2312" w:hAnsi="仿宋_GB2312" w:cs="仿宋_GB2312" w:eastAsia="仿宋_GB2312"/>
                <w:sz w:val="21"/>
              </w:rPr>
              <w:t>应制定并提供完善的人员管理制度，组建具有管理区政务大厅能力的专职驻场运营管理团队对工作人员进行统一管理，运营管理团队要有具体的岗位职责</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10）供应商</w:t>
            </w:r>
            <w:r>
              <w:rPr>
                <w:rFonts w:ascii="仿宋_GB2312" w:hAnsi="仿宋_GB2312" w:cs="仿宋_GB2312" w:eastAsia="仿宋_GB2312"/>
                <w:sz w:val="21"/>
              </w:rPr>
              <w:t>应督促和监督工作人员自觉遵守采购人相关工作管理制度，包括单位规章制度和劳动纪律等，并定期向区政务服务中心报送运行报告。</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11）供应商</w:t>
            </w:r>
            <w:r>
              <w:rPr>
                <w:rFonts w:ascii="仿宋_GB2312" w:hAnsi="仿宋_GB2312" w:cs="仿宋_GB2312" w:eastAsia="仿宋_GB2312"/>
                <w:sz w:val="21"/>
              </w:rPr>
              <w:t>应建立人员轮换和储备制度，在服务期间，</w:t>
            </w:r>
            <w:r>
              <w:rPr>
                <w:rFonts w:ascii="仿宋_GB2312" w:hAnsi="仿宋_GB2312" w:cs="仿宋_GB2312" w:eastAsia="仿宋_GB2312"/>
                <w:sz w:val="21"/>
              </w:rPr>
              <w:t>供应商</w:t>
            </w:r>
            <w:r>
              <w:rPr>
                <w:rFonts w:ascii="仿宋_GB2312" w:hAnsi="仿宋_GB2312" w:cs="仿宋_GB2312" w:eastAsia="仿宋_GB2312"/>
                <w:sz w:val="21"/>
              </w:rPr>
              <w:t>所派工作人员因个人原因离职或与</w:t>
            </w:r>
            <w:r>
              <w:rPr>
                <w:rFonts w:ascii="仿宋_GB2312" w:hAnsi="仿宋_GB2312" w:cs="仿宋_GB2312" w:eastAsia="仿宋_GB2312"/>
                <w:sz w:val="21"/>
              </w:rPr>
              <w:t>供应商</w:t>
            </w:r>
            <w:r>
              <w:rPr>
                <w:rFonts w:ascii="仿宋_GB2312" w:hAnsi="仿宋_GB2312" w:cs="仿宋_GB2312" w:eastAsia="仿宋_GB2312"/>
                <w:sz w:val="21"/>
              </w:rPr>
              <w:t>依法解除劳动关系，或经采购人与</w:t>
            </w:r>
            <w:r>
              <w:rPr>
                <w:rFonts w:ascii="仿宋_GB2312" w:hAnsi="仿宋_GB2312" w:cs="仿宋_GB2312" w:eastAsia="仿宋_GB2312"/>
                <w:sz w:val="21"/>
              </w:rPr>
              <w:t>供应商</w:t>
            </w:r>
            <w:r>
              <w:rPr>
                <w:rFonts w:ascii="仿宋_GB2312" w:hAnsi="仿宋_GB2312" w:cs="仿宋_GB2312" w:eastAsia="仿宋_GB2312"/>
                <w:sz w:val="21"/>
              </w:rPr>
              <w:t>双方确认替换</w:t>
            </w:r>
            <w:r>
              <w:rPr>
                <w:rFonts w:ascii="仿宋_GB2312" w:hAnsi="仿宋_GB2312" w:cs="仿宋_GB2312" w:eastAsia="仿宋_GB2312"/>
                <w:sz w:val="21"/>
              </w:rPr>
              <w:t>供应商</w:t>
            </w:r>
            <w:r>
              <w:rPr>
                <w:rFonts w:ascii="仿宋_GB2312" w:hAnsi="仿宋_GB2312" w:cs="仿宋_GB2312" w:eastAsia="仿宋_GB2312"/>
                <w:sz w:val="21"/>
              </w:rPr>
              <w:t>所派工作人员，</w:t>
            </w:r>
            <w:r>
              <w:rPr>
                <w:rFonts w:ascii="仿宋_GB2312" w:hAnsi="仿宋_GB2312" w:cs="仿宋_GB2312" w:eastAsia="仿宋_GB2312"/>
                <w:sz w:val="21"/>
              </w:rPr>
              <w:t>供应商</w:t>
            </w:r>
            <w:r>
              <w:rPr>
                <w:rFonts w:ascii="仿宋_GB2312" w:hAnsi="仿宋_GB2312" w:cs="仿宋_GB2312" w:eastAsia="仿宋_GB2312"/>
                <w:sz w:val="21"/>
              </w:rPr>
              <w:t>应做好工作交接，确保人员空岗期不超过</w:t>
            </w:r>
            <w:r>
              <w:rPr>
                <w:rFonts w:ascii="仿宋_GB2312" w:hAnsi="仿宋_GB2312" w:cs="仿宋_GB2312" w:eastAsia="仿宋_GB2312"/>
                <w:sz w:val="21"/>
              </w:rPr>
              <w:t>3天，超出3天的，采购人有权扣除相应费用。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12）供应商</w:t>
            </w:r>
            <w:r>
              <w:rPr>
                <w:rFonts w:ascii="仿宋_GB2312" w:hAnsi="仿宋_GB2312" w:cs="仿宋_GB2312" w:eastAsia="仿宋_GB2312"/>
                <w:sz w:val="21"/>
              </w:rPr>
              <w:t>在项目执行过程中，包括日常工作过程中所涉及的采购人全部数据、资料、往来文件等承担保密义务。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13）供应商应定期组织开展党建、团建相关活动。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14）供应商要按照行政办事员(政务服务综合窗口办事员)国家职业技能标准开展等级认定、定岗晋级等工作。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合同签订后，中标</w:t>
            </w:r>
            <w:r>
              <w:rPr>
                <w:rFonts w:ascii="仿宋_GB2312" w:hAnsi="仿宋_GB2312" w:cs="仿宋_GB2312" w:eastAsia="仿宋_GB2312"/>
                <w:sz w:val="21"/>
              </w:rPr>
              <w:t>供应商</w:t>
            </w:r>
            <w:r>
              <w:rPr>
                <w:rFonts w:ascii="仿宋_GB2312" w:hAnsi="仿宋_GB2312" w:cs="仿宋_GB2312" w:eastAsia="仿宋_GB2312"/>
                <w:sz w:val="21"/>
              </w:rPr>
              <w:t>应优先聘用现有的大厅服务人员，尽快完成人员招聘和培训工作，保证业务的无缝衔接。</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16）供应商</w:t>
            </w:r>
            <w:r>
              <w:rPr>
                <w:rFonts w:ascii="仿宋_GB2312" w:hAnsi="仿宋_GB2312" w:cs="仿宋_GB2312" w:eastAsia="仿宋_GB2312"/>
                <w:sz w:val="21"/>
              </w:rPr>
              <w:t>应按时、足额发放工资和福利，并依法交纳五险一金。不得随意扣发工作人员的工资和其他福利，不得随意缩减或变更工作人员五险一金的缴存标准和比例。因挪用相关费用所引起的一切法律责任和社会影响均由服务商承担，采购人有权提前终止服务合同并要求服务商赔偿因此给采购人带来的一切损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17）供应商</w:t>
            </w:r>
            <w:r>
              <w:rPr>
                <w:rFonts w:ascii="仿宋_GB2312" w:hAnsi="仿宋_GB2312" w:cs="仿宋_GB2312" w:eastAsia="仿宋_GB2312"/>
                <w:sz w:val="21"/>
              </w:rPr>
              <w:t>提供</w:t>
            </w:r>
            <w:r>
              <w:rPr>
                <w:rFonts w:ascii="仿宋_GB2312" w:hAnsi="仿宋_GB2312" w:cs="仿宋_GB2312" w:eastAsia="仿宋_GB2312"/>
                <w:sz w:val="21"/>
              </w:rPr>
              <w:t>80套工服（衬衣、外套、裤子、配饰等），服务期内中标</w:t>
            </w:r>
            <w:r>
              <w:rPr>
                <w:rFonts w:ascii="仿宋_GB2312" w:hAnsi="仿宋_GB2312" w:cs="仿宋_GB2312" w:eastAsia="仿宋_GB2312"/>
                <w:sz w:val="21"/>
              </w:rPr>
              <w:t>供应商</w:t>
            </w:r>
            <w:r>
              <w:rPr>
                <w:rFonts w:ascii="仿宋_GB2312" w:hAnsi="仿宋_GB2312" w:cs="仿宋_GB2312" w:eastAsia="仿宋_GB2312"/>
                <w:sz w:val="21"/>
              </w:rPr>
              <w:t>工作人员变更产生的工服费用由</w:t>
            </w:r>
            <w:r>
              <w:rPr>
                <w:rFonts w:ascii="仿宋_GB2312" w:hAnsi="仿宋_GB2312" w:cs="仿宋_GB2312" w:eastAsia="仿宋_GB2312"/>
                <w:sz w:val="21"/>
              </w:rPr>
              <w:t>供应商</w:t>
            </w:r>
            <w:r>
              <w:rPr>
                <w:rFonts w:ascii="仿宋_GB2312" w:hAnsi="仿宋_GB2312" w:cs="仿宋_GB2312" w:eastAsia="仿宋_GB2312"/>
                <w:sz w:val="21"/>
              </w:rPr>
              <w:t>自行承担。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一年，以双方签订合同时约定的起止日期为准。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租赁和商务服务业。租赁和商务服务业的划型标准为：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2.本项目专门面向中小企业采购（残疾人福利性单位、监狱企业视同小型、微型企业）。3.为顺利推进政府采购电子化交易平台试点应用工作，供应商需要在线提交所有通过电子化交易平台实施的政府采购项目的投标文件，同时，在投标文件递交截止时间前线下提交纸质投标文件正本一份，否则按无效响应处理。投标文件正本装订成册密封在一个袋内，封皮标明项目名称+供应商名称。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5.本项目付款方式以拟签订采购合同文本中付款方式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相关资格证明资料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经审计的完整财务审计报告（应是会计师事务所出具的赋码审计报告）或投标文件递交截止时间近三个月内基本开户银行出具的资信证明及基本开户银行相关证明资料或政府采购专业担保机构出具的投标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履行合同所必需的设备和专业技术能力及诚信履约的书面声明函</w:t>
            </w:r>
          </w:p>
        </w:tc>
        <w:tc>
          <w:tcPr>
            <w:tcW w:type="dxa" w:w="3322"/>
          </w:tcPr>
          <w:p>
            <w:pPr>
              <w:pStyle w:val="null3"/>
            </w:pPr>
            <w:r>
              <w:rPr>
                <w:rFonts w:ascii="仿宋_GB2312" w:hAnsi="仿宋_GB2312" w:cs="仿宋_GB2312" w:eastAsia="仿宋_GB2312"/>
              </w:rPr>
              <w:t>具有履行合同所必需的设备和专业技术能力及诚信履约的书面声明函，供应商需在项目电子化交易系统中按要求上传相应证明文件并进行电子签章。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rFonts w:ascii="仿宋_GB2312" w:hAnsi="仿宋_GB2312" w:cs="仿宋_GB2312" w:eastAsia="仿宋_GB2312"/>
              </w:rPr>
              <w:t>相关资格证明资料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相关资格证明资料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报价唯一无缺漏，且没有高于招标文件规定的采购预算和最高限价。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响应文件签署、盖章均按招标文件要求签字、盖章。</w:t>
            </w:r>
          </w:p>
        </w:tc>
        <w:tc>
          <w:tcPr>
            <w:tcW w:type="dxa" w:w="1661"/>
          </w:tcPr>
          <w:p>
            <w:pPr>
              <w:pStyle w:val="null3"/>
            </w:pPr>
            <w:r>
              <w:rPr>
                <w:rFonts w:ascii="仿宋_GB2312" w:hAnsi="仿宋_GB2312" w:cs="仿宋_GB2312" w:eastAsia="仿宋_GB2312"/>
              </w:rPr>
              <w:t>开标一览表 投标函 授权委托书 商务和技术响应 标的清单 投标文件封面 相关资格证明资料 法定代表人（单位负责人自然人）身份证明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投标有效性</w:t>
            </w:r>
          </w:p>
        </w:tc>
        <w:tc>
          <w:tcPr>
            <w:tcW w:type="dxa" w:w="3322"/>
          </w:tcPr>
          <w:p>
            <w:pPr>
              <w:pStyle w:val="null3"/>
            </w:pPr>
            <w:r>
              <w:rPr>
                <w:rFonts w:ascii="仿宋_GB2312" w:hAnsi="仿宋_GB2312" w:cs="仿宋_GB2312" w:eastAsia="仿宋_GB2312"/>
              </w:rPr>
              <w:t>未出现招标文件规定的无效响应情形</w:t>
            </w:r>
          </w:p>
        </w:tc>
        <w:tc>
          <w:tcPr>
            <w:tcW w:type="dxa" w:w="1661"/>
          </w:tcPr>
          <w:p>
            <w:pPr>
              <w:pStyle w:val="null3"/>
            </w:pPr>
            <w:r>
              <w:rPr>
                <w:rFonts w:ascii="仿宋_GB2312" w:hAnsi="仿宋_GB2312" w:cs="仿宋_GB2312" w:eastAsia="仿宋_GB2312"/>
              </w:rPr>
              <w:t>商务和技术响应</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针对本项目提出适用于本项目的总体方案，总体方案包括：①人员聘用方案②社保缴纳工作方案③对聘用人员的培训方案④处理劳务、劳资纠纷方案⑤对聘用人员日常管理考核方案。 二、评审标准 1、完整性：方案必须全面，对评审内容中的各项要求有详细描述； 2、可实施性：切合本项目实际情况，提出步骤清晰、合理的方案； 3、针对性：方案能够紧扣项目实际情况，内容科学合理。 三、赋分标准（满分30分） ①人员聘用方案：每完全满足一个评审标准得2分，满分6分； ②社保缴纳工作方案:每完全满足一个评审标准得2分，满分6分； ③对聘用人员的培训方案:每完全满足一个评审标准得2分，满分6分； ④处理劳务、劳资纠纷方案:每完全满足一个评审标准得2分，满分6分； ⑤对聘用人员日常管理考核方案:每完全满足一个评审标准得2分，满分6分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根据本项目拟投入的人员进行评审，内容包括：①人员数量、结构②人员专业、工作经验③人员管理制度 二、评审标准 1、完整性：方案必须全面，对评审内容中的各项要求有详细描述； 2、可实施性：切合本项目实际情况，提出步骤清晰、合理的方案； 3、针对性：方案能够紧扣项目实际情况，内容科学合理。 三、赋分标准（满分15分） ①人员数量、结构：每完全满足一个评审标准得1分，满分3分； ②人员专业、工作经验:每完全满足一个评审标准得2分，满分6分； ③人员管理制度:每完全满足一个评审标准得2分，满分6分；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根据本项目特点制定档案管理方案，方案包括：①建立人员档案方案②日常管理人员档案方案③服务到期后档案移交制度 二、评审标准 1、完整性：方案必须全面，对评审内容中的各项要求有详细描述； 2、可实施性：切合本项目实际情况，提出步骤清晰、合理的方案； 3、针对性：方案能够紧扣项目实际情况，内容科学合理。 三、赋分标准（满分9分） ①建立人员档案方案：每完全满足一个评审标准得1分，满分3分； ②日常管理人员档案方案:每完全满足一个评审标准得1分，满分3分； ③服务到期后档案移交制度:每完全满足一个评审标准得1分，满分3分；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针对本项目提出适用于本项目的应急预案，应急预案包括：①安全保障、突发事件、事故处理等方面应急预案②供应商根据自身过往业务经验设想可能遇见的其他紧急情形并针对此情形提出应对措施 二、评审标准 1、完整性：方案必须全面，对评审内容中的各项要求有详细描述； 2、可实施性：切合本项目实际情况，提出步骤清晰、合理的方案； 3、针对性：方案能够紧扣项目实际情况，内容科学合理。 三、赋分标准（满分6分） ①安全保障、突发事件、事故处理等方面应急预案：每完全满足一个评审标准得1分，满分3分； ②供应商根据自身过往业务经验设想可能遇见的其他紧急情形并针对此情形提出应对措施:每完全满足一个评审标准得1分，满分3分；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根据本项目提出服务质量保证措施，内容包括：①保密制度②服务质量（成果质量、关键工作节点时效等）保证措施 二、评审标准 1、完整性：内容必须全面，对评审内容中的各项要求有详细描述； 2、可实施性：切合本项目实际情况，提出步骤清晰、合理的内容； 3、针对性：方案能够紧扣项目实际情况，内容科学合理。 三、赋分标准（满分12分） ①保密制度：每完全满足一个评审标准得2分，满分6分； ②服务质量（成果质量、关键工作节点时效等）保证措施:每完全满足一个评审标准得2分，满分6分；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一、评审内容 根据本项目提出服务承诺和建议，内容包括：①服务承诺②合理化建议 二、评审标准 1、完整性：内容必须全面，对评审内容中的各项要求有详细描述； 2、可实施性：切合本项目实际情况，提出步骤清晰、合理的内容； 3、针对性：方案能够紧扣项目实际情况，内容科学合理。 三、赋分标准（满分12分） ①服务承诺：每完全满足一个评审标准得2分，满分6分； ②合理化建议:每完全满足一个评审标准得2分，满分6分；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供应商须提供类似项目的合同或中标通知书（2023年1月至今）（时间以合同签订时间或中标通知书发出时间为准），每提供一份得1分，满分5分。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供应商具有合法有效的《职业健康安全管理体系认证》、《质量管理体系认证》、《环境管理体系认证》，全部具备得1分，否则不得分。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详见附件：相关资格证明资料</w:t>
      </w:r>
    </w:p>
    <w:p>
      <w:pPr>
        <w:pStyle w:val="null3"/>
        <w:ind w:firstLine="960"/>
      </w:pPr>
      <w:r>
        <w:rPr>
          <w:rFonts w:ascii="仿宋_GB2312" w:hAnsi="仿宋_GB2312" w:cs="仿宋_GB2312" w:eastAsia="仿宋_GB2312"/>
        </w:rPr>
        <w:t>详见附件：商务和技术响应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