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版本号：SZT2026-SN-QC-ZC-HW-005320260126001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SZT2026-SN-QC-ZC-HW-0053</w:t>
      </w:r>
      <w:r>
        <w:br/>
      </w:r>
      <w:r>
        <w:br/>
      </w:r>
      <w:r>
        <w:br/>
      </w:r>
    </w:p>
    <w:p>
      <w:pPr>
        <w:pStyle w:val="null3"/>
        <w:jc w:val="center"/>
        <w:outlineLvl w:val="2"/>
      </w:pPr>
      <w:r>
        <w:rPr>
          <w:rFonts w:ascii="仿宋_GB2312" w:hAnsi="仿宋_GB2312" w:cs="仿宋_GB2312" w:eastAsia="仿宋_GB2312"/>
          <w:sz w:val="28"/>
          <w:b/>
        </w:rPr>
        <w:t>西安市雁塔区人民政府办公室</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西安市雁塔区人民政府办公室</w:t>
      </w:r>
      <w:r>
        <w:rPr>
          <w:rFonts w:ascii="仿宋_GB2312" w:hAnsi="仿宋_GB2312" w:cs="仿宋_GB2312" w:eastAsia="仿宋_GB2312"/>
        </w:rPr>
        <w:t>委托，拟对</w:t>
      </w:r>
      <w:r>
        <w:rPr>
          <w:rFonts w:ascii="仿宋_GB2312" w:hAnsi="仿宋_GB2312" w:cs="仿宋_GB2312" w:eastAsia="仿宋_GB2312"/>
        </w:rPr>
        <w:t>办公耗材采购项目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SZT2026-SN-QC-ZC-HW-0053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办公耗材采购项目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西安市雁塔区人民政府办公室办公耗材采购项目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拜世成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029-85381813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王哲、胡婷、肖懿、米成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代理服务费收费标准：1、中标/成交供应商应向采购代理机构支付招标代理服务费。招标代理服务费参照《国家计委关于印发&lt;招标代理服务收费管理暂行办法&gt;的通知》（计价格〔2002〕1980号）规定标准收取。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西安市雁塔区人民政府办公室</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西安市雁塔区人民政府办公室</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西安市雁塔区人民政府办公室办公耗材采购项目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869"/>
              <w:gridCol w:w="277"/>
              <w:gridCol w:w="277"/>
              <w:gridCol w:w="573"/>
              <w:gridCol w:w="277"/>
            </w:tblGrid>
            <w:tr>
              <w:tc>
                <w:tcPr>
                  <w:tcW w:type="dxa" w:w="277"/>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86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打印机型号</w:t>
                  </w:r>
                </w:p>
              </w:tc>
              <w:tc>
                <w:tcPr>
                  <w:tcW w:type="dxa" w:w="277"/>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w:t>
                  </w:r>
                </w:p>
              </w:tc>
              <w:tc>
                <w:tcPr>
                  <w:tcW w:type="dxa" w:w="277"/>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类型</w:t>
                  </w:r>
                </w:p>
              </w:tc>
              <w:tc>
                <w:tcPr>
                  <w:tcW w:type="dxa" w:w="57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c>
                <w:tcPr>
                  <w:tcW w:type="dxa" w:w="277"/>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报价单位</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HL-2260D</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≥11000页（A4幅面；5%覆盖率）；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≥11000页（A4幅面；5%覆盖率）；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HL-2260D</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w:t>
                  </w:r>
                  <w:r>
                    <w:rPr>
                      <w:rFonts w:ascii="仿宋_GB2312" w:hAnsi="仿宋_GB2312" w:cs="仿宋_GB2312" w:eastAsia="仿宋_GB2312"/>
                      <w:sz w:val="24"/>
                    </w:rPr>
                    <w:t>M7215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佳能</w:t>
                  </w:r>
                  <w:r>
                    <w:rPr>
                      <w:rFonts w:ascii="仿宋_GB2312" w:hAnsi="仿宋_GB2312" w:cs="仿宋_GB2312" w:eastAsia="仿宋_GB2312"/>
                      <w:sz w:val="24"/>
                    </w:rPr>
                    <w:t>MF249dw</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≥2400页（A4幅面；5%覆盖率）；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≥2400页（A4幅面；5%覆盖率）；带芯片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5590</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盒</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≥2500页（A4幅面；5%覆盖率）；带芯片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盒</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rPr>
                      <w:rFonts w:ascii="仿宋_GB2312" w:hAnsi="仿宋_GB2312" w:cs="仿宋_GB2312" w:eastAsia="仿宋_GB2312"/>
                      <w:sz w:val="24"/>
                    </w:rPr>
                    <w:t>M254d</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≥1300页（A4幅面；5%覆盖率）；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≥1300页（A4幅面；5%覆盖率）；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≥1300页（A4幅面；5%覆盖率）；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≥1300页（A4幅面；5%覆盖率）；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≥1300页（A4幅面；5%覆盖率）；带芯片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≥1300页（A4幅面；5%覆盖率）；带芯片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≥1300页（A4幅面；5%覆盖率）；带芯片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≥1300页（A4幅面；5%覆盖率）；带芯片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rPr>
                      <w:rFonts w:ascii="仿宋_GB2312" w:hAnsi="仿宋_GB2312" w:cs="仿宋_GB2312" w:eastAsia="仿宋_GB2312"/>
                      <w:sz w:val="24"/>
                    </w:rPr>
                    <w:t>HP） M479dw</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≥2100页（A4幅面；5%覆盖率）；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≥2100页（A4幅面；5%覆盖率）；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≥2100页（A4幅面；5%覆盖率）；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≥2100页（A4幅面；5%覆盖率）；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≥2100页（A4幅面；5%覆盖率）；带芯片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≥2100页（A4幅面；5%覆盖率）；带芯片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≥2100页（A4幅面；5%覆盖率）；带芯片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≥2100页（A4幅面；5%覆盖率）；带芯片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rPr>
                      <w:rFonts w:ascii="仿宋_GB2312" w:hAnsi="仿宋_GB2312" w:cs="仿宋_GB2312" w:eastAsia="仿宋_GB2312"/>
                      <w:sz w:val="24"/>
                    </w:rPr>
                    <w:t>1020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≥1500页（A4幅面；5%覆盖率）；带芯片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br/>
                  </w:r>
                  <w:r>
                    <w:rPr>
                      <w:rFonts w:ascii="仿宋_GB2312" w:hAnsi="仿宋_GB2312" w:cs="仿宋_GB2312" w:eastAsia="仿宋_GB2312"/>
                      <w:sz w:val="24"/>
                    </w:rPr>
                    <w:t>m2055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≥2200页（A4幅面；5%覆盖率）；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≥2200页（A4幅面；5%覆盖率）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2890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≥11000页（A4幅面；5%覆盖率）；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≥11000页（A4幅面；5%覆盖率）；带芯片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2890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br/>
                  </w:r>
                  <w:r>
                    <w:rPr>
                      <w:rFonts w:ascii="仿宋_GB2312" w:hAnsi="仿宋_GB2312" w:cs="仿宋_GB2312" w:eastAsia="仿宋_GB2312"/>
                      <w:sz w:val="24"/>
                    </w:rPr>
                    <w:t>1320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≥2500页（A4幅面；5%覆盖率）；带芯片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兄弟</w:t>
                  </w:r>
                  <w:r>
                    <w:rPr>
                      <w:rFonts w:ascii="仿宋_GB2312" w:hAnsi="仿宋_GB2312" w:cs="仿宋_GB2312" w:eastAsia="仿宋_GB2312"/>
                      <w:sz w:val="24"/>
                    </w:rPr>
                    <w:t>HL-3150CDN</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富士施乐</w:t>
                  </w:r>
                  <w:r>
                    <w:rPr>
                      <w:rFonts w:ascii="仿宋_GB2312" w:hAnsi="仿宋_GB2312" w:cs="仿宋_GB2312" w:eastAsia="仿宋_GB2312"/>
                      <w:sz w:val="24"/>
                    </w:rPr>
                    <w:t>6080</w:t>
                  </w:r>
                </w:p>
                <w:p>
                  <w:pPr>
                    <w:pStyle w:val="null3"/>
                    <w:jc w:val="center"/>
                  </w:p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≥30万页（A4幅面；5%覆盖率）；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≥30万页（A4幅面；5%覆盖率）；带芯片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br/>
                  </w:r>
                  <w:r>
                    <w:rPr>
                      <w:rFonts w:ascii="仿宋_GB2312" w:hAnsi="仿宋_GB2312" w:cs="仿宋_GB2312" w:eastAsia="仿宋_GB2312"/>
                      <w:sz w:val="24"/>
                    </w:rPr>
                    <w:t>M1106</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惠普</w:t>
                  </w:r>
                  <w:r>
                    <w:br/>
                  </w:r>
                  <w:r>
                    <w:rPr>
                      <w:rFonts w:ascii="仿宋_GB2312" w:hAnsi="仿宋_GB2312" w:cs="仿宋_GB2312" w:eastAsia="仿宋_GB2312"/>
                      <w:sz w:val="24"/>
                    </w:rPr>
                    <w:t>M403d</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869"/>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vMerge/>
                  <w:tcBorders>
                    <w:top w:val="none" w:color="000000" w:sz="4"/>
                    <w:left w:val="none" w:color="000000" w:sz="4"/>
                    <w:bottom w:val="single" w:color="000000" w:sz="4"/>
                    <w:right w:val="single" w:color="000000" w:sz="4"/>
                  </w:tcBorders>
                </w:tcP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奔图</w:t>
                  </w:r>
                  <w:r>
                    <w:rPr>
                      <w:rFonts w:ascii="仿宋_GB2312" w:hAnsi="仿宋_GB2312" w:cs="仿宋_GB2312" w:eastAsia="仿宋_GB2312"/>
                      <w:sz w:val="24"/>
                    </w:rPr>
                    <w:t>CM7000FDN</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≥5000页（A4幅面；5%覆盖率）；带芯片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利盟</w:t>
                  </w:r>
                  <w:r>
                    <w:rPr>
                      <w:rFonts w:ascii="仿宋_GB2312" w:hAnsi="仿宋_GB2312" w:cs="仿宋_GB2312" w:eastAsia="仿宋_GB2312"/>
                      <w:sz w:val="24"/>
                    </w:rPr>
                    <w:t>CS725</w:t>
                  </w:r>
                </w:p>
                <w:p>
                  <w:pPr>
                    <w:pStyle w:val="null3"/>
                    <w:jc w:val="center"/>
                  </w:p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≥7000页（A4幅面；5%覆盖率）；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≥7000页（A4幅面；5%覆盖率）；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≥7000页（A4幅面；5%覆盖率）；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≥7000页（A4幅面；5%覆盖率）；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≥7000页（A4幅面；5%覆盖率）；带芯片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≥7000页（A4幅面；5%覆盖率）；带芯片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≥7000页（A4幅面；5%覆盖率）；带芯片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≥7000页（A4幅面；5%覆盖率）；带芯片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利盟</w:t>
                  </w:r>
                  <w:r>
                    <w:rPr>
                      <w:rFonts w:ascii="仿宋_GB2312" w:hAnsi="仿宋_GB2312" w:cs="仿宋_GB2312" w:eastAsia="仿宋_GB2312"/>
                      <w:sz w:val="24"/>
                    </w:rPr>
                    <w:t>CS725</w:t>
                  </w:r>
                </w:p>
                <w:p>
                  <w:pPr>
                    <w:pStyle w:val="null3"/>
                    <w:jc w:val="center"/>
                  </w:p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黑色成像组件</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≥15万页（A4幅面；5%覆盖率）；带芯片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彩色成像组件</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≥15万页（A4幅面；5%覆盖率）；带芯片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利盟</w:t>
                  </w:r>
                  <w:r>
                    <w:rPr>
                      <w:rFonts w:ascii="仿宋_GB2312" w:hAnsi="仿宋_GB2312" w:cs="仿宋_GB2312" w:eastAsia="仿宋_GB2312"/>
                      <w:sz w:val="24"/>
                    </w:rPr>
                    <w:t>CS331dw</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≥4500页（A4幅面；5%覆盖率）；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≥4500页（A4幅面；5%覆盖率）；带芯片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≥4500页（A4幅面；5%覆盖率）；带芯片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≥4500页（A4幅面；5%覆盖率）；带芯片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≥4500页（A4幅面；5%覆盖率）；带芯片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立思辰</w:t>
                  </w:r>
                  <w:r>
                    <w:rPr>
                      <w:rFonts w:ascii="仿宋_GB2312" w:hAnsi="仿宋_GB2312" w:cs="仿宋_GB2312" w:eastAsia="仿宋_GB2312"/>
                      <w:sz w:val="24"/>
                    </w:rPr>
                    <w:t>GB7531cdn</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替代适用</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≥4000页（A4幅面；5%覆盖率）；带芯片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≥3000页（A4幅面；5%覆盖率）；带芯片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立思辰</w:t>
                  </w:r>
                  <w:r>
                    <w:rPr>
                      <w:rFonts w:ascii="仿宋_GB2312" w:hAnsi="仿宋_GB2312" w:cs="仿宋_GB2312" w:eastAsia="仿宋_GB2312"/>
                      <w:sz w:val="24"/>
                    </w:rPr>
                    <w:t>GB7531cdn</w:t>
                  </w: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黑色鼓组件</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打印量：</w:t>
                  </w:r>
                  <w:r>
                    <w:rPr>
                      <w:rFonts w:ascii="仿宋_GB2312" w:hAnsi="仿宋_GB2312" w:cs="仿宋_GB2312" w:eastAsia="仿宋_GB2312"/>
                      <w:sz w:val="24"/>
                    </w:rPr>
                    <w:t>≥10万页（A4幅面；5%覆盖率）；带芯片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彩色色鼓组件</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打印量：</w:t>
                  </w:r>
                  <w:r>
                    <w:rPr>
                      <w:rFonts w:ascii="仿宋_GB2312" w:hAnsi="仿宋_GB2312" w:cs="仿宋_GB2312" w:eastAsia="仿宋_GB2312"/>
                      <w:sz w:val="24"/>
                    </w:rPr>
                    <w:t>≥10万页（A4幅面；5%覆盖率）；带芯片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666666"/>
                    </w:rPr>
                    <w:t>理光</w:t>
                  </w:r>
                  <w:r>
                    <w:rPr>
                      <w:rFonts w:ascii="仿宋_GB2312" w:hAnsi="仿宋_GB2312" w:cs="仿宋_GB2312" w:eastAsia="仿宋_GB2312"/>
                      <w:sz w:val="24"/>
                      <w:b/>
                      <w:color w:val="666666"/>
                    </w:rPr>
                    <w:t>IMC4500复印机</w:t>
                  </w:r>
                </w:p>
                <w:p>
                  <w:pPr>
                    <w:pStyle w:val="null3"/>
                    <w:jc w:val="left"/>
                  </w:p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粉盒红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≥20000页（A4幅面；5%覆盖率）；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869"/>
                  <w:vMerge/>
                  <w:tcBorders>
                    <w:top w:val="none" w:color="000000" w:sz="4"/>
                    <w:left w:val="none" w:color="000000" w:sz="4"/>
                    <w:bottom w:val="single" w:color="000000" w:sz="4"/>
                    <w:right w:val="single" w:color="000000" w:sz="4"/>
                  </w:tcBorders>
                </w:tcPr>
                <w:p/>
              </w:tc>
              <w:tc>
                <w:tcPr>
                  <w:tcW w:type="dxa" w:w="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硒鼓黑</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≥20万页（A4幅面；5%覆盖率）；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硒鼓青</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≥20万页（A4幅面；5%覆盖率）；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≥20万页（A4幅面；5%覆盖率）；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869"/>
                  <w:vMerge/>
                  <w:tcBorders>
                    <w:top w:val="none" w:color="000000" w:sz="4"/>
                    <w:left w:val="non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硒鼓红</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打印量：</w:t>
                  </w:r>
                  <w:r>
                    <w:rPr>
                      <w:rFonts w:ascii="仿宋_GB2312" w:hAnsi="仿宋_GB2312" w:cs="仿宋_GB2312" w:eastAsia="仿宋_GB2312"/>
                      <w:sz w:val="24"/>
                    </w:rPr>
                    <w:t>≥20万页（A4幅面；5%覆盖率）；</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A4复印纸</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80克</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80gA4打印复印纸500张/包，8包装(4000张)</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箱</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A3复印纸</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80克</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80gA3打印复印纸500张/包，4包装(2000张)</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箱</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注：替代适用是指适用于本型号设备的任何品牌的耗材。</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根据实际供货量据实结算按月支付,持全额合规发票与甲方结算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国家相应的标准和规范，质保期一年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双方在履行合同过程中，若发生争议，可以协商解决。如协商未果，双方向甲方所在地人民法院提起诉讼。乙方如果没有按照本合同约定履行合同，甲方有权终止合同。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（1）本项目谈判文件第三章 谈判项目技术、服务、商务及其他要求 商务要求中“支付方式：一次付款”为系统固定描述内容，具体付款方式以下列内容为准：根据实际供货量据实结算按月支付,持全额合规发票与甲方结算 ，达到付款条件起 10 日内，支付当月合同金额的 100.00%。 （2）本项目报价方式为单价之和，供应商填写报价时应为单价之和。《标的清单》和《开标一览表》为系统固定格式，因陕西省政府采购综合管理平台系统设置原因，现《标的清单》中【规格型号】、【品牌】、【产地】、【制造商】四栏按实际采购货物名称分别填写相关信息；《标的清单》和《开标一览表》中【单价（元）】一栏按单价报价的合计金额填写，因系统无法显示所投产品的单价报价明细，价格以《分项报价表》中单价报价为准。 （3）其他：①政府采购活动中既有本国产品又有非本国产品参与竞争的，依法对本国产品给予价格评审优惠，对本国产品的报价给予20%的价格扣除，用扣除后的价格参与评审。（供应商提供虚假《声明函》、虚假证明文件谋取中标、成交的，依照《中华人民共和国政府采购法》等法律法规规定追究相应责任。）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供应商提供虚假《声明函》、虚假证明文件谋取中标、成交的，依照《中华人民共和国政府采购法》等法律法规规定追究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一、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二、（一）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二）评审委员会启动异常低价投标（响应）审查后，相关供应商在评审现场合理的时间内对投标（响应）价格作出解释，提供项目具体成本测算等与报价合理性相关的书面说明及必要的证明材料，包括但不限于原材料成本、人工成本、制造费用等。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（1）货币单位符合谈判文件要求（2）报价符合唯一性要求 （3）未超出采购预算或最高限价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服务期限是否满足谈判文件的要求；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质保期是否满足谈判文件的要求；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投标有效期满足竞争性谈判文件的要求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符合法律、法规和竞争性谈判文件中规定的其他实质性要求</w:t>
            </w:r>
          </w:p>
        </w:tc>
        <w:tc>
          <w:tcPr>
            <w:tcW w:type="dxa" w:w="3322"/>
          </w:tcPr>
          <w:p>
            <w:pPr>
              <w:pStyle w:val="null3"/>
            </w:pPr>
            <w:r>
              <w:rPr>
                <w:rFonts w:ascii="仿宋_GB2312" w:hAnsi="仿宋_GB2312" w:cs="仿宋_GB2312" w:eastAsia="仿宋_GB2312"/>
              </w:rPr>
              <w:t>是否符合法律、法规和竞争性谈判文件中规定的其他实质性要求。</w:t>
            </w:r>
          </w:p>
        </w:tc>
        <w:tc>
          <w:tcPr>
            <w:tcW w:type="dxa" w:w="1661"/>
          </w:tcPr>
          <w:p>
            <w:pPr>
              <w:pStyle w:val="null3"/>
            </w:pPr>
            <w:r>
              <w:rPr>
                <w:rFonts w:ascii="仿宋_GB2312" w:hAnsi="仿宋_GB2312" w:cs="仿宋_GB2312" w:eastAsia="仿宋_GB2312"/>
              </w:rPr>
              <w:t>响应文件封面 投标人应提交的相关资格证明材料.docx 关于符合本国产品标准的声明函.docx 供货方案.docx 商务应答表.docx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关于符合本国产品标准的声明函.docx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详见附件：关于符合本国产品标准的声明函.docx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