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版本号：SZT2026-SN-QC-ZC-FW-005220260126001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雁塔区政府电子政务网络平台加固集成及运维项目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SZT2026-SN-QC-ZC-FW-0052</w:t>
      </w:r>
      <w:r>
        <w:br/>
      </w:r>
      <w:r>
        <w:br/>
      </w:r>
      <w:r>
        <w:br/>
      </w:r>
    </w:p>
    <w:p>
      <w:pPr>
        <w:pStyle w:val="null3"/>
        <w:jc w:val="center"/>
        <w:outlineLvl w:val="2"/>
      </w:pPr>
      <w:r>
        <w:rPr>
          <w:rFonts w:ascii="仿宋_GB2312" w:hAnsi="仿宋_GB2312" w:cs="仿宋_GB2312" w:eastAsia="仿宋_GB2312"/>
          <w:sz w:val="28"/>
          <w:b/>
        </w:rPr>
        <w:t>西安市雁塔区人民政府办公室</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西安市雁塔区人民政府办公室</w:t>
      </w:r>
      <w:r>
        <w:rPr>
          <w:rFonts w:ascii="仿宋_GB2312" w:hAnsi="仿宋_GB2312" w:cs="仿宋_GB2312" w:eastAsia="仿宋_GB2312"/>
        </w:rPr>
        <w:t>委托，拟对</w:t>
      </w:r>
      <w:r>
        <w:rPr>
          <w:rFonts w:ascii="仿宋_GB2312" w:hAnsi="仿宋_GB2312" w:cs="仿宋_GB2312" w:eastAsia="仿宋_GB2312"/>
        </w:rPr>
        <w:t>雁塔区政府电子政务网络平台加固集成及运维项目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SZT2026-SN-QC-ZC-FW-0052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雁塔区政府电子政务网络平台加固集成及运维项目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运维项目覆盖雁塔区电子政务外网和互联网、区政府数据中心、楼层机房、对办公区域终端、政务网络、政务应用等，对电子政务外网的11个物理机房、76套基础设施、107台网络设备、46台服务器、3套备份存储、统6套应用系、33套安全设备等资产的进行保障和维护，负责电子政务平台的网络安全监测、安全自查、风险评估、等保测评、安全加固、策略优化、定位溯源、监测性能提升和应急处置，保障雁塔区电子政务平台、网络、办公终端的稳定、安全运行。承担区级视频会议保障、重大安全保障等。围绕区级电子政务网络安全、保障业务连续性、优化运维管理等方面，构建安全、稳定、高效的政务网络环境，满足国家网络安全和信息化发展的政策要求，支撑政府数字化转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采购包1（雁塔区政府电子政务网络平台加固集成及运维项目）：属于专门面向中小企业采购。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2、不接受联合体磋商：不接受联合体磋商（提供相应承诺）；供应商需在项目电子化交易系统中按要求上传相应证明文件并进行电子签章。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029-85382240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王哲、胡婷、肖懿、米成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采购包1：1,246,200.00元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计价格[2002]1980号）的通知和《国家发改委关于降低部分建设项目收费标准规范收费行为等有关问题的通知》（发改价格〔2011〕534号）的有关规定，按服务类收费标准收取，定额收取招标代理服务费人民币肆万贰仟捌佰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西安市雁塔区人民政府办公室</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运维项目覆盖雁塔区电子政务外网和互联网、区政府数据中心、楼层机房、对办公区域终端、政务网络、政务应用等，对电子政务外网的11个物理机房、76套基础设施、107台网络设备、46台服务器、3套备份存储、统6套应用系、33套安全设备等资产的进行保障和维护，负责电子政务平台的网络安全监测、安全自查、风险评估、等保测评、安全加固、策略优化、定位溯源、监测性能提升和应急处置，保障雁塔区电子政务平台、网络、办公终端的稳定、安全运行。承担区级视频会议保障、重大安全保障等。围绕区级电子政务网络安全、保障业务连续性、优化运维管理等方面，构建安全、稳定、高效的政务网络环境，满足国家网络安全和信息化发展的政策要求，支撑政府数字化转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1,246,200.00</w:t>
      </w:r>
    </w:p>
    <w:p>
      <w:pPr>
        <w:pStyle w:val="null3"/>
      </w:pPr>
      <w:r>
        <w:rPr>
          <w:rFonts w:ascii="仿宋_GB2312" w:hAnsi="仿宋_GB2312" w:cs="仿宋_GB2312" w:eastAsia="仿宋_GB2312"/>
        </w:rPr>
        <w:t>采购包最高限价（元）: 1,246,200.00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其他信息技术服务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1,246,200.00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标的名称：其他信息技术服务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一、服务期限</w:t>
            </w:r>
            <w:r>
              <w:rPr>
                <w:rFonts w:ascii="仿宋_GB2312" w:hAnsi="仿宋_GB2312" w:cs="仿宋_GB2312" w:eastAsia="仿宋_GB2312"/>
                <w:sz w:val="24"/>
              </w:rPr>
              <w:t>/频次</w:t>
            </w:r>
          </w:p>
          <w:tbl>
            <w:tblPr>
              <w:tblBorders>
                <w:top w:val="none" w:color="000000" w:sz="4"/>
                <w:left w:val="none" w:color="000000" w:sz="4"/>
                <w:bottom w:val="none" w:color="000000" w:sz="4"/>
                <w:right w:val="none" w:color="000000" w:sz="4"/>
                <w:insideH w:val="none"/>
                <w:insideV w:val="none"/>
              </w:tblBorders>
            </w:tblPr>
            <w:tblGrid>
              <w:gridCol w:w="221"/>
              <w:gridCol w:w="1387"/>
              <w:gridCol w:w="225"/>
              <w:gridCol w:w="720"/>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编号</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w:t>
                  </w:r>
                  <w:r>
                    <w:rPr>
                      <w:rFonts w:ascii="仿宋_GB2312" w:hAnsi="仿宋_GB2312" w:cs="仿宋_GB2312" w:eastAsia="仿宋_GB2312"/>
                      <w:sz w:val="24"/>
                      <w:b/>
                    </w:rPr>
                    <w:t>内容</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服务期限</w:t>
                  </w:r>
                  <w:r>
                    <w:rPr>
                      <w:rFonts w:ascii="仿宋_GB2312" w:hAnsi="仿宋_GB2312" w:cs="仿宋_GB2312" w:eastAsia="仿宋_GB2312"/>
                      <w:sz w:val="24"/>
                      <w:b/>
                    </w:rPr>
                    <w:t>/频次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终端合规性服务及安全审查服务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标准等保工具定期检查服务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网络安全风险评估服务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重大活动保障服务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服务期满足实际需求</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恶意代码检测服务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按需满足</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咨询规划服务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按需满足</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应急响应服务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按需满足</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安全驻场及运维服务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政府机房设备及网络保障服务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日常驻场网络及基础设施运维服务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设备维保服务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设备巡检及报告解读、安全服务现场支撑服务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月</w:t>
                  </w:r>
                  <w:r>
                    <w:rPr>
                      <w:rFonts w:ascii="仿宋_GB2312" w:hAnsi="仿宋_GB2312" w:cs="仿宋_GB2312" w:eastAsia="仿宋_GB2312"/>
                      <w:sz w:val="24"/>
                    </w:rPr>
                    <w:t>度巡检，安全服务按需满足</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网络等保测评</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网络安全监测保障服务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网络出口性能保障服务</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一年</w:t>
                  </w:r>
                </w:p>
              </w:tc>
            </w:tr>
          </w:tbl>
          <w:p>
            <w:pPr>
              <w:pStyle w:val="null3"/>
              <w:jc w:val="both"/>
            </w:pPr>
            <w:r>
              <w:rPr>
                <w:rFonts w:ascii="仿宋_GB2312" w:hAnsi="仿宋_GB2312" w:cs="仿宋_GB2312" w:eastAsia="仿宋_GB2312"/>
                <w:sz w:val="24"/>
              </w:rPr>
              <w:t>二、技术要求</w:t>
            </w:r>
          </w:p>
          <w:tbl>
            <w:tblPr>
              <w:tblInd w:type="dxa" w:w="135"/>
              <w:tblBorders>
                <w:top w:val="none" w:color="000000" w:sz="4"/>
                <w:left w:val="none" w:color="000000" w:sz="4"/>
                <w:bottom w:val="none" w:color="000000" w:sz="4"/>
                <w:right w:val="none" w:color="000000" w:sz="4"/>
                <w:insideH w:val="none"/>
                <w:insideV w:val="none"/>
              </w:tblBorders>
            </w:tblPr>
            <w:tblGrid>
              <w:gridCol w:w="175"/>
              <w:gridCol w:w="592"/>
              <w:gridCol w:w="1785"/>
            </w:tblGrid>
            <w:tr>
              <w:tc>
                <w:tcPr>
                  <w:tcW w:type="dxa" w:w="1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编号</w:t>
                  </w:r>
                </w:p>
              </w:tc>
              <w:tc>
                <w:tcPr>
                  <w:tcW w:type="dxa" w:w="5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w:t>
                  </w:r>
                  <w:r>
                    <w:rPr>
                      <w:rFonts w:ascii="仿宋_GB2312" w:hAnsi="仿宋_GB2312" w:cs="仿宋_GB2312" w:eastAsia="仿宋_GB2312"/>
                      <w:sz w:val="24"/>
                      <w:b/>
                    </w:rPr>
                    <w:t>内容</w:t>
                  </w:r>
                </w:p>
              </w:tc>
              <w:tc>
                <w:tcPr>
                  <w:tcW w:type="dxa" w:w="17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终端合规性服务及安全审查服务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1）使用原有终端的准入认证与控制系统，进行使用和推广。配合用户做实施规划和方案，准备认证的实施和交付，保证设备充分利用，完成满足客户需求的终端准入和地址规划。</w:t>
                  </w:r>
                </w:p>
                <w:p>
                  <w:pPr>
                    <w:pStyle w:val="null3"/>
                    <w:jc w:val="left"/>
                  </w:pPr>
                  <w:r>
                    <w:rPr>
                      <w:rFonts w:ascii="仿宋_GB2312" w:hAnsi="仿宋_GB2312" w:cs="仿宋_GB2312" w:eastAsia="仿宋_GB2312"/>
                      <w:sz w:val="24"/>
                    </w:rPr>
                    <w:t>2）提供计算机终端审查工具和服务，要求支持USB使用记录：USB使用记录显示主机USB使用情况；支持浏览器上网记录，支持IE内核浏览器、谷歌浏览器、火狐浏览器等上网记录及Cookie记录。支持审查主机系统配置信息，内容包括不限于：计算机名、用户名、操作系统、内存大小、磁盘大小、系统路径、共享目录。支持审查主机硬件信息，内容包括不限于：CPU信息、主板信息、内存信息、显卡信息、硬盘信息、网卡信息。</w:t>
                  </w:r>
                </w:p>
                <w:p>
                  <w:pPr>
                    <w:pStyle w:val="null3"/>
                    <w:jc w:val="left"/>
                  </w:pPr>
                  <w:r>
                    <w:rPr>
                      <w:rFonts w:ascii="仿宋_GB2312" w:hAnsi="仿宋_GB2312" w:cs="仿宋_GB2312" w:eastAsia="仿宋_GB2312"/>
                      <w:sz w:val="24"/>
                    </w:rPr>
                    <w:t>3）支持审查主机所有开机自启动项程序。支持审查主机异常服务，即主机上已经启动的可能有风险的服务程序，包括不限于：TermService、RemoteRegistry、TlntSvr、IISADMIN、W3SVC。支持审查主机密码安全策略配置，包含口令最长使用期限，长度最小值，锁定阀值等。支持审查主机所有系统账号，包含隐藏（影子）账户及活动状态。支持审查主机系统安全补丁，内容包括不限于：补丁名称，补丁发布日期，补丁描述。</w:t>
                  </w:r>
                </w:p>
                <w:p>
                  <w:pPr>
                    <w:pStyle w:val="null3"/>
                    <w:jc w:val="left"/>
                  </w:pPr>
                  <w:r>
                    <w:rPr>
                      <w:rFonts w:ascii="仿宋_GB2312" w:hAnsi="仿宋_GB2312" w:cs="仿宋_GB2312" w:eastAsia="仿宋_GB2312"/>
                      <w:sz w:val="24"/>
                    </w:rPr>
                    <w:t>4）支持审查系统的活动端口，内容包含不限于当前开放的TCP/UDP端口、连接状态、进程相对路径。支持审查系统的用户权限，显示用户、访问权限与操作系统安全相关的状态。支持审查系统运行保护，显示系统当前防护措施。支持xml，html等格式的输出报表。</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标准等保工具定期检查服务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提供标准工具检测服务，本次提供的标准工具配置至少</w:t>
                  </w:r>
                  <w:r>
                    <w:rPr>
                      <w:rFonts w:ascii="仿宋_GB2312" w:hAnsi="仿宋_GB2312" w:cs="仿宋_GB2312" w:eastAsia="仿宋_GB2312"/>
                      <w:sz w:val="24"/>
                    </w:rPr>
                    <w:t>5个离线检查工具（</w:t>
                  </w:r>
                  <w:r>
                    <w:rPr>
                      <w:rFonts w:ascii="仿宋_GB2312" w:hAnsi="仿宋_GB2312" w:cs="仿宋_GB2312" w:eastAsia="仿宋_GB2312"/>
                      <w:sz w:val="24"/>
                    </w:rPr>
                    <w:t>包括</w:t>
                  </w:r>
                  <w:r>
                    <w:rPr>
                      <w:rFonts w:ascii="仿宋_GB2312" w:hAnsi="仿宋_GB2312" w:cs="仿宋_GB2312" w:eastAsia="仿宋_GB2312"/>
                      <w:sz w:val="24"/>
                    </w:rPr>
                    <w:t>Windows主机配置检查工具、Windows病毒木马检查工具、Linux病毒木马检查工具、Windows恶意代码检查工具、Linux恶意代码检查工具）和至少6个在线检查工具（Linux主机配置检查工具、网络及安全设备配置检查工具、弱口令检查工具、数据库安全检查工具、网站安全检查工具、系统漏洞检查工具）</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通过“网络安全等级保护检查知识库”管理要求访谈内容，与《GBT22239-2019网络安全技术网络安全等级保护基本要求》完美结合，将等级保护基本要求落地，使信息系统运营和使用单位从技术和管理角度明确了自身系统与等级保护相关等级要求的具体差异，为策略优化和应用安全提供依据。</w:t>
                  </w:r>
                </w:p>
                <w:p>
                  <w:pPr>
                    <w:pStyle w:val="null3"/>
                    <w:jc w:val="left"/>
                  </w:pPr>
                  <w:r>
                    <w:rPr>
                      <w:rFonts w:ascii="仿宋_GB2312" w:hAnsi="仿宋_GB2312" w:cs="仿宋_GB2312" w:eastAsia="仿宋_GB2312"/>
                      <w:sz w:val="24"/>
                    </w:rPr>
                    <w:t>3）每年提供给不少于一次的等保工具检查服务。</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网络安全风险评估服务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1)每年提供一次全网的风险评估服务，风险评估服务内容</w:t>
                  </w:r>
                  <w:r>
                    <w:rPr>
                      <w:rFonts w:ascii="仿宋_GB2312" w:hAnsi="仿宋_GB2312" w:cs="仿宋_GB2312" w:eastAsia="仿宋_GB2312"/>
                      <w:sz w:val="24"/>
                    </w:rPr>
                    <w:t>包括：资产梳理、基线检查、漏洞扫描（主机、数据库、</w:t>
                  </w:r>
                  <w:r>
                    <w:rPr>
                      <w:rFonts w:ascii="仿宋_GB2312" w:hAnsi="仿宋_GB2312" w:cs="仿宋_GB2312" w:eastAsia="仿宋_GB2312"/>
                      <w:sz w:val="24"/>
                    </w:rPr>
                    <w:t>WEB应用）、渗透测试、安全加固，根据评估报告进行网络及策略优化。</w:t>
                  </w:r>
                </w:p>
                <w:p>
                  <w:pPr>
                    <w:pStyle w:val="null3"/>
                    <w:jc w:val="left"/>
                  </w:pPr>
                  <w:r>
                    <w:rPr>
                      <w:rFonts w:ascii="仿宋_GB2312" w:hAnsi="仿宋_GB2312" w:cs="仿宋_GB2312" w:eastAsia="仿宋_GB2312"/>
                      <w:sz w:val="24"/>
                    </w:rPr>
                    <w:t>2）对区级电子政务平台的威胁分析、脆弱性分析、现有控制措施有效性分析、风险分析确定面临的风险及提出有针对性的处置建议。</w:t>
                  </w:r>
                </w:p>
                <w:p>
                  <w:pPr>
                    <w:pStyle w:val="null3"/>
                    <w:jc w:val="left"/>
                  </w:pPr>
                  <w:r>
                    <w:rPr>
                      <w:rFonts w:ascii="仿宋_GB2312" w:hAnsi="仿宋_GB2312" w:cs="仿宋_GB2312" w:eastAsia="仿宋_GB2312"/>
                      <w:sz w:val="24"/>
                    </w:rPr>
                    <w:t>3）完成工具评估、人工评估、顾问访谈、文档勘察、信息资产调研、网络架构评估等内容完成技术层面和管理层面的风险评估。</w:t>
                  </w:r>
                </w:p>
                <w:p>
                  <w:pPr>
                    <w:pStyle w:val="null3"/>
                    <w:jc w:val="left"/>
                  </w:pPr>
                  <w:r>
                    <w:rPr>
                      <w:rFonts w:ascii="仿宋_GB2312" w:hAnsi="仿宋_GB2312" w:cs="仿宋_GB2312" w:eastAsia="仿宋_GB2312"/>
                      <w:sz w:val="24"/>
                    </w:rPr>
                    <w:t>4）辅助雁塔区政务网络中心对新上线业务进行评估和优化。</w:t>
                  </w:r>
                </w:p>
                <w:p>
                  <w:pPr>
                    <w:pStyle w:val="null3"/>
                    <w:jc w:val="left"/>
                  </w:pPr>
                  <w:r>
                    <w:rPr>
                      <w:rFonts w:ascii="仿宋_GB2312" w:hAnsi="仿宋_GB2312" w:cs="仿宋_GB2312" w:eastAsia="仿宋_GB2312"/>
                      <w:sz w:val="24"/>
                    </w:rPr>
                    <w:t>5）按照网络安全主管单位要求进行安全排查、评估和处置。</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重大活动保障服务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1）提供一年服务期内的全部重保服务支撑，负责对机房环境、网络状态等进行巡检保障，提供值守服务。</w:t>
                  </w:r>
                </w:p>
                <w:p>
                  <w:pPr>
                    <w:pStyle w:val="null3"/>
                    <w:jc w:val="left"/>
                  </w:pPr>
                  <w:r>
                    <w:rPr>
                      <w:rFonts w:ascii="仿宋_GB2312" w:hAnsi="仿宋_GB2312" w:cs="仿宋_GB2312" w:eastAsia="仿宋_GB2312"/>
                      <w:sz w:val="24"/>
                    </w:rPr>
                    <w:t>2）在重大活动期间提供安全保障服务，含应急方案、制度、重保的服务以及安全人员驻守。</w:t>
                  </w:r>
                </w:p>
                <w:p>
                  <w:pPr>
                    <w:pStyle w:val="null3"/>
                    <w:jc w:val="left"/>
                  </w:pPr>
                  <w:r>
                    <w:rPr>
                      <w:rFonts w:ascii="仿宋_GB2312" w:hAnsi="仿宋_GB2312" w:cs="仿宋_GB2312" w:eastAsia="仿宋_GB2312"/>
                      <w:sz w:val="24"/>
                    </w:rPr>
                    <w:t>3）重大活动前期，保障重大活动筹备工作的正常开展，做好巡检和故障处理。</w:t>
                  </w:r>
                </w:p>
                <w:p>
                  <w:pPr>
                    <w:pStyle w:val="null3"/>
                    <w:jc w:val="left"/>
                  </w:pPr>
                  <w:r>
                    <w:rPr>
                      <w:rFonts w:ascii="仿宋_GB2312" w:hAnsi="仿宋_GB2312" w:cs="仿宋_GB2312" w:eastAsia="仿宋_GB2312"/>
                      <w:sz w:val="24"/>
                    </w:rPr>
                    <w:t>4）重大活动期间，避免由于终端相关的安全风险，导致区政府网络出现安全风险或事件问题，避免由此可能产生的不良影响极其社会化蔓延。</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恶意代码检测服务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1）针对区政府的应用，提供恶意代码检测。</w:t>
                  </w:r>
                </w:p>
                <w:p>
                  <w:pPr>
                    <w:pStyle w:val="null3"/>
                    <w:jc w:val="left"/>
                  </w:pPr>
                  <w:r>
                    <w:rPr>
                      <w:rFonts w:ascii="仿宋_GB2312" w:hAnsi="仿宋_GB2312" w:cs="仿宋_GB2312" w:eastAsia="仿宋_GB2312"/>
                      <w:sz w:val="24"/>
                    </w:rPr>
                    <w:t>2）支持各类WEB编程语言的应用的深度网页后门漏洞扫描；支持实时结果的展现，支持生成统计报表；</w:t>
                  </w:r>
                </w:p>
                <w:p>
                  <w:pPr>
                    <w:pStyle w:val="null3"/>
                    <w:jc w:val="left"/>
                  </w:pPr>
                  <w:r>
                    <w:rPr>
                      <w:rFonts w:ascii="仿宋_GB2312" w:hAnsi="仿宋_GB2312" w:cs="仿宋_GB2312" w:eastAsia="仿宋_GB2312"/>
                      <w:sz w:val="24"/>
                    </w:rPr>
                    <w:t>3）支持Asp、Jsp、.Net、J2EE、Php、Perl等所有的WEB应用编程语言；支持根据文件类型自动选择内置扫描策略进行扫描，例如当进行扫描index.ASP文件时程序会自动选择ASP对应的策略进行扫描而忽略其他的扫描策略；</w:t>
                  </w:r>
                </w:p>
                <w:p>
                  <w:pPr>
                    <w:pStyle w:val="null3"/>
                    <w:jc w:val="left"/>
                  </w:pPr>
                  <w:r>
                    <w:rPr>
                      <w:rFonts w:ascii="仿宋_GB2312" w:hAnsi="仿宋_GB2312" w:cs="仿宋_GB2312" w:eastAsia="仿宋_GB2312"/>
                      <w:sz w:val="24"/>
                    </w:rPr>
                    <w:t>4）具有全盘扫描功能，支持扫描所有内置的策略以及用户自定义策略；</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按照业务需求，及时提供主机、</w:t>
                  </w:r>
                  <w:r>
                    <w:rPr>
                      <w:rFonts w:ascii="仿宋_GB2312" w:hAnsi="仿宋_GB2312" w:cs="仿宋_GB2312" w:eastAsia="仿宋_GB2312"/>
                      <w:sz w:val="24"/>
                    </w:rPr>
                    <w:t>WEB、数据库的漏洞扫描，并提供报告分析和整改建议。</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咨询规划服务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1）按需提供雁塔区电子政务网络的建设规划和咨询服务，内容不限于机房环境、标准、网络规划、安全方案等，并提供对应的报告和方案；</w:t>
                  </w:r>
                </w:p>
                <w:p>
                  <w:pPr>
                    <w:pStyle w:val="null3"/>
                    <w:jc w:val="left"/>
                  </w:pPr>
                  <w:r>
                    <w:rPr>
                      <w:rFonts w:ascii="仿宋_GB2312" w:hAnsi="仿宋_GB2312" w:cs="仿宋_GB2312" w:eastAsia="仿宋_GB2312"/>
                      <w:sz w:val="24"/>
                    </w:rPr>
                    <w:t>2）提供网络安全管理制度的咨询，流程的标准化；</w:t>
                  </w:r>
                </w:p>
                <w:p>
                  <w:pPr>
                    <w:pStyle w:val="null3"/>
                    <w:jc w:val="left"/>
                  </w:pPr>
                  <w:r>
                    <w:rPr>
                      <w:rFonts w:ascii="仿宋_GB2312" w:hAnsi="仿宋_GB2312" w:cs="仿宋_GB2312" w:eastAsia="仿宋_GB2312"/>
                      <w:sz w:val="24"/>
                    </w:rPr>
                    <w:t>3）根据业务需要，提供网络安全培训服务。</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应急响应服务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1）针对服务期间内出现的重大安全事件提供应急响应保障服务。接到告警信息立即组织专家远程确定故障级别；如果是高危级别需派遣应急响应专家到达现场解决问题；</w:t>
                  </w:r>
                </w:p>
                <w:p>
                  <w:pPr>
                    <w:pStyle w:val="null3"/>
                    <w:jc w:val="left"/>
                  </w:pPr>
                  <w:r>
                    <w:rPr>
                      <w:rFonts w:ascii="仿宋_GB2312" w:hAnsi="仿宋_GB2312" w:cs="仿宋_GB2312" w:eastAsia="仿宋_GB2312"/>
                      <w:sz w:val="24"/>
                    </w:rPr>
                    <w:t>2）如需特殊的安全防护产品或工具解决问题，应协助提供解决问题；</w:t>
                  </w:r>
                </w:p>
                <w:p>
                  <w:pPr>
                    <w:pStyle w:val="null3"/>
                    <w:jc w:val="left"/>
                  </w:pPr>
                  <w:r>
                    <w:rPr>
                      <w:rFonts w:ascii="仿宋_GB2312" w:hAnsi="仿宋_GB2312" w:cs="仿宋_GB2312" w:eastAsia="仿宋_GB2312"/>
                      <w:sz w:val="24"/>
                    </w:rPr>
                    <w:t>3）搜集并固定相关数据信息，为公安机关的介入提供技术依据；</w:t>
                  </w:r>
                </w:p>
                <w:p>
                  <w:pPr>
                    <w:pStyle w:val="null3"/>
                    <w:jc w:val="both"/>
                  </w:pPr>
                  <w:r>
                    <w:rPr>
                      <w:rFonts w:ascii="仿宋_GB2312" w:hAnsi="仿宋_GB2312" w:cs="仿宋_GB2312" w:eastAsia="仿宋_GB2312"/>
                      <w:sz w:val="24"/>
                    </w:rPr>
                    <w:t>4）故障解决后应输出应急响应服务报告，提供一年服务期应急响应服务。</w:t>
                  </w:r>
                </w:p>
                <w:p>
                  <w:pPr>
                    <w:pStyle w:val="null3"/>
                    <w:jc w:val="both"/>
                  </w:pPr>
                  <w:r>
                    <w:rPr>
                      <w:rFonts w:ascii="仿宋_GB2312" w:hAnsi="仿宋_GB2312" w:cs="仿宋_GB2312" w:eastAsia="仿宋_GB2312"/>
                      <w:sz w:val="24"/>
                    </w:rPr>
                    <w:t>5）应急响应时间小于40分钟；</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安全驻场及运维服务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360"/>
                    <w:jc w:val="left"/>
                  </w:pPr>
                  <w:r>
                    <w:rPr>
                      <w:rFonts w:ascii="仿宋_GB2312" w:hAnsi="仿宋_GB2312" w:cs="仿宋_GB2312" w:eastAsia="仿宋_GB2312"/>
                      <w:sz w:val="24"/>
                    </w:rPr>
                    <w:t>1）</w:t>
                  </w:r>
                  <w:r>
                    <w:rPr>
                      <w:rFonts w:ascii="仿宋_GB2312" w:hAnsi="仿宋_GB2312" w:cs="仿宋_GB2312" w:eastAsia="仿宋_GB2312"/>
                      <w:sz w:val="24"/>
                      <w:b/>
                    </w:rPr>
                    <w:t>至少提供</w:t>
                  </w:r>
                  <w:r>
                    <w:rPr>
                      <w:rFonts w:ascii="仿宋_GB2312" w:hAnsi="仿宋_GB2312" w:cs="仿宋_GB2312" w:eastAsia="仿宋_GB2312"/>
                      <w:sz w:val="24"/>
                      <w:b/>
                    </w:rPr>
                    <w:t>1人的现场网络安全驻场服务，</w:t>
                  </w:r>
                  <w:r>
                    <w:rPr>
                      <w:rFonts w:ascii="仿宋_GB2312" w:hAnsi="仿宋_GB2312" w:cs="仿宋_GB2312" w:eastAsia="仿宋_GB2312"/>
                      <w:sz w:val="24"/>
                    </w:rPr>
                    <w:t>5*8小时的上班，特殊时期7*24小时应急值守；</w:t>
                  </w:r>
                  <w:r>
                    <w:rPr>
                      <w:rFonts w:ascii="仿宋_GB2312" w:hAnsi="仿宋_GB2312" w:cs="仿宋_GB2312" w:eastAsia="仿宋_GB2312"/>
                      <w:sz w:val="24"/>
                    </w:rPr>
                    <w:t>驻场人员利用安全管理平台和现网安全设备实时监测现网安全情况，并把梳理的资产输入到平台进行展现和处置流转，通过平台和二线人工服务团队及时进行分析、研判和处置。</w:t>
                  </w:r>
                </w:p>
                <w:p>
                  <w:pPr>
                    <w:pStyle w:val="null3"/>
                    <w:ind w:left="360"/>
                    <w:jc w:val="left"/>
                  </w:pPr>
                  <w:r>
                    <w:rPr>
                      <w:rFonts w:ascii="仿宋_GB2312" w:hAnsi="仿宋_GB2312" w:cs="仿宋_GB2312" w:eastAsia="仿宋_GB2312"/>
                      <w:sz w:val="24"/>
                    </w:rPr>
                    <w:t>2）</w:t>
                  </w:r>
                  <w:r>
                    <w:rPr>
                      <w:rFonts w:ascii="仿宋_GB2312" w:hAnsi="仿宋_GB2312" w:cs="仿宋_GB2312" w:eastAsia="仿宋_GB2312"/>
                      <w:sz w:val="24"/>
                    </w:rPr>
                    <w:t>处理网络故障问题，负责监测设备、态势感知、防护类设备的日常巡检及维护，完成日常应急突发事件的处置工作；</w:t>
                  </w:r>
                </w:p>
                <w:p>
                  <w:pPr>
                    <w:pStyle w:val="null3"/>
                    <w:ind w:left="36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针对雁塔区政府信息资产，提供全年</w:t>
                  </w:r>
                  <w:r>
                    <w:rPr>
                      <w:rFonts w:ascii="仿宋_GB2312" w:hAnsi="仿宋_GB2312" w:cs="仿宋_GB2312" w:eastAsia="仿宋_GB2312"/>
                      <w:sz w:val="24"/>
                    </w:rPr>
                    <w:t>7*24小时安全托管运营服务，实时监测分析及人工研判，针对中、高危风险及时提醒，并协助溯源处置。</w:t>
                  </w:r>
                  <w:r>
                    <w:rPr>
                      <w:rFonts w:ascii="仿宋_GB2312" w:hAnsi="仿宋_GB2312" w:cs="仿宋_GB2312" w:eastAsia="仿宋_GB2312"/>
                      <w:sz w:val="24"/>
                    </w:rPr>
                    <w:t>提供现网指定资产梳理、暴露面检测、实时安全监测研判、安全预警及复测闭环、安全事件处置及辅助响应等服务，按规定频率提供服务相关报告。</w:t>
                  </w:r>
                </w:p>
                <w:p>
                  <w:pPr>
                    <w:pStyle w:val="null3"/>
                    <w:ind w:left="36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梳理全网的资产，所使用的资产梳理工具应支持资产探测任务速率、端口范围和周期配置，包括自定义监控周期及检测时间规则配置，满足区政府在夜间或节假日扫描的需求；端口范围支持通过常用场景模板快速选择端口范围，模板包括应用、数据库等常用场景，方便快速选择。</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p>
                <w:p>
                  <w:pPr>
                    <w:pStyle w:val="null3"/>
                    <w:ind w:left="36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服务所提供的暴露面检测能力可基于IP、IP段、域名、DNS、端口等信息查询关联互联网资产信息，支持基于特定语法搜索，可搜索维度至少包含关键字信息、站点备案信息、IP归属地、漏洞、归属单位、指定地理区域、指定返回状态码业务资产等，并查看搜索结果页面快照。支持搜集指定高危漏洞的分布区域、漏洞影响数量趋势、漏洞影响区域/端口排名。</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p>
                <w:p>
                  <w:pPr>
                    <w:pStyle w:val="null3"/>
                    <w:ind w:left="360"/>
                    <w:jc w:val="left"/>
                  </w:pPr>
                  <w:r>
                    <w:rPr>
                      <w:rFonts w:ascii="仿宋_GB2312" w:hAnsi="仿宋_GB2312" w:cs="仿宋_GB2312" w:eastAsia="仿宋_GB2312"/>
                      <w:sz w:val="24"/>
                    </w:rPr>
                    <w:t>6）</w:t>
                  </w:r>
                  <w:r>
                    <w:rPr>
                      <w:rFonts w:ascii="仿宋_GB2312" w:hAnsi="仿宋_GB2312" w:cs="仿宋_GB2312" w:eastAsia="仿宋_GB2312"/>
                      <w:sz w:val="24"/>
                    </w:rPr>
                    <w:t>根据现场和远程不间断监测和分析的结果，现场处理安全风险问题。负责安全、网络、机房环境等核心设备的定期巡检和维护、完成日常应急突发事件的处置工作。</w:t>
                  </w:r>
                </w:p>
                <w:p>
                  <w:pPr>
                    <w:pStyle w:val="null3"/>
                    <w:jc w:val="left"/>
                  </w:pP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政府机房设备及网络保障服务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提供包含机房基础环境设备（电力、空调、</w:t>
                  </w:r>
                  <w:r>
                    <w:rPr>
                      <w:rFonts w:ascii="仿宋_GB2312" w:hAnsi="仿宋_GB2312" w:cs="仿宋_GB2312" w:eastAsia="仿宋_GB2312"/>
                      <w:sz w:val="24"/>
                    </w:rPr>
                    <w:t>UPS、消防设备、监控、门禁等）的监测、维护和故障处理。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提供网络及相关设备的维修、更换和保障（单价低于</w:t>
                  </w:r>
                  <w:r>
                    <w:rPr>
                      <w:rFonts w:ascii="仿宋_GB2312" w:hAnsi="仿宋_GB2312" w:cs="仿宋_GB2312" w:eastAsia="仿宋_GB2312"/>
                      <w:sz w:val="24"/>
                    </w:rPr>
                    <w:t>2万元由驻场运维公司承担费用；高于2万元甲乙双方协商解决。）</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提供政务网络运行及机房运行设备所需的备品备件、辅材。对网络中核心设备进行巡检和保障，保障机房的正常运行。</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对现</w:t>
                  </w:r>
                  <w:r>
                    <w:rPr>
                      <w:rFonts w:ascii="仿宋_GB2312" w:hAnsi="仿宋_GB2312" w:cs="仿宋_GB2312" w:eastAsia="仿宋_GB2312"/>
                      <w:sz w:val="24"/>
                    </w:rPr>
                    <w:t>10个分支机房安装监控摄像头、像素不小于400万，并接入硬盘录像机进行统一管理，实现实时查看和录像存储，录像保留时间不少于一个月。对11个机房安装温湿度、烟感探测等设备，对机房的物理环境进行安全监测。包含相关设备的集成、布线和安装调试。</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提供机房基础环境保养、整理和清洁；</w:t>
                  </w:r>
                </w:p>
                <w:p>
                  <w:pPr>
                    <w:pStyle w:val="null3"/>
                    <w:jc w:val="both"/>
                  </w:pPr>
                  <w:r>
                    <w:rPr>
                      <w:rFonts w:ascii="仿宋_GB2312" w:hAnsi="仿宋_GB2312" w:cs="仿宋_GB2312" w:eastAsia="仿宋_GB2312"/>
                      <w:sz w:val="24"/>
                    </w:rPr>
                    <w:t>定期对机房进行巡检、负责局域网内系统集成，备品备件更换；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）提供机房内空调、消防设备的维修和保养。</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日常驻场网络及基础设施运维服务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b/>
                    </w:rPr>
                    <w:t>提供日常网络及基础设施运维驻场服务，包含</w:t>
                  </w:r>
                  <w:r>
                    <w:rPr>
                      <w:rFonts w:ascii="仿宋_GB2312" w:hAnsi="仿宋_GB2312" w:cs="仿宋_GB2312" w:eastAsia="仿宋_GB2312"/>
                      <w:sz w:val="24"/>
                      <w:b/>
                    </w:rPr>
                    <w:t>2个人的常规驻场，重保服务。</w:t>
                  </w:r>
                </w:p>
                <w:p>
                  <w:pPr>
                    <w:pStyle w:val="null3"/>
                    <w:jc w:val="left"/>
                  </w:pPr>
                  <w:r>
                    <w:rPr>
                      <w:rFonts w:ascii="仿宋_GB2312" w:hAnsi="仿宋_GB2312" w:cs="仿宋_GB2312" w:eastAsia="仿宋_GB2312"/>
                      <w:sz w:val="24"/>
                    </w:rPr>
                    <w:t>2）用于日常的网络、终端、办公设备及基础设施运维和值守。</w:t>
                  </w:r>
                </w:p>
                <w:p>
                  <w:pPr>
                    <w:pStyle w:val="null3"/>
                    <w:jc w:val="left"/>
                  </w:pPr>
                  <w:r>
                    <w:rPr>
                      <w:rFonts w:ascii="仿宋_GB2312" w:hAnsi="仿宋_GB2312" w:cs="仿宋_GB2312" w:eastAsia="仿宋_GB2312"/>
                      <w:sz w:val="24"/>
                    </w:rPr>
                    <w:t>3）负责区政府所有终端、局域网网络、打印机、办公设备等的故障处理。</w:t>
                  </w:r>
                </w:p>
                <w:p>
                  <w:pPr>
                    <w:pStyle w:val="null3"/>
                    <w:jc w:val="left"/>
                  </w:pPr>
                  <w:r>
                    <w:rPr>
                      <w:rFonts w:ascii="仿宋_GB2312" w:hAnsi="仿宋_GB2312" w:cs="仿宋_GB2312" w:eastAsia="仿宋_GB2312"/>
                      <w:sz w:val="24"/>
                    </w:rPr>
                    <w:t>4）接受用户的考核和各项制度，并提供日报、周报和季度报表。</w:t>
                  </w:r>
                </w:p>
                <w:p>
                  <w:pPr>
                    <w:pStyle w:val="null3"/>
                    <w:jc w:val="left"/>
                  </w:pPr>
                  <w:r>
                    <w:rPr>
                      <w:rFonts w:ascii="仿宋_GB2312" w:hAnsi="仿宋_GB2312" w:cs="仿宋_GB2312" w:eastAsia="仿宋_GB2312"/>
                      <w:sz w:val="24"/>
                    </w:rPr>
                    <w:t>5）完成信息系统设备的日常巡检服务，包含核心网络设备、核心服务设备和托管设备的日常巡检；</w:t>
                  </w:r>
                </w:p>
                <w:p>
                  <w:pPr>
                    <w:pStyle w:val="null3"/>
                    <w:jc w:val="left"/>
                  </w:pPr>
                  <w:r>
                    <w:rPr>
                      <w:rFonts w:ascii="仿宋_GB2312" w:hAnsi="仿宋_GB2312" w:cs="仿宋_GB2312" w:eastAsia="仿宋_GB2312"/>
                      <w:sz w:val="24"/>
                    </w:rPr>
                    <w:t>6）负责电子政务相关事宜的处理和落实。</w:t>
                  </w:r>
                </w:p>
                <w:p>
                  <w:pPr>
                    <w:pStyle w:val="null3"/>
                    <w:jc w:val="left"/>
                  </w:pPr>
                  <w:r>
                    <w:rPr>
                      <w:rFonts w:ascii="仿宋_GB2312" w:hAnsi="仿宋_GB2312" w:cs="仿宋_GB2312" w:eastAsia="仿宋_GB2312"/>
                      <w:sz w:val="24"/>
                    </w:rPr>
                    <w:t>7）配合上级的安全检查，协助采购人完成各项工作的报告编写。</w:t>
                  </w:r>
                  <w:r>
                    <w:rPr>
                      <w:rFonts w:ascii="仿宋_GB2312" w:hAnsi="仿宋_GB2312" w:cs="仿宋_GB2312" w:eastAsia="仿宋_GB2312"/>
                      <w:sz w:val="24"/>
                    </w:rPr>
                    <w:t>配合进行电子政务办公室日常工作的处理、文档整理、迎检及其他相关工作落实。</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设备维保服务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设备明细</w:t>
                  </w:r>
                </w:p>
                <w:tbl>
                  <w:tblPr>
                    <w:tblBorders>
                      <w:top w:val="none" w:color="000000" w:sz="4"/>
                      <w:left w:val="none" w:color="000000" w:sz="4"/>
                      <w:bottom w:val="none" w:color="000000" w:sz="4"/>
                      <w:right w:val="none" w:color="000000" w:sz="4"/>
                      <w:insideH w:val="none"/>
                      <w:insideV w:val="none"/>
                    </w:tblBorders>
                  </w:tblPr>
                  <w:tblGrid>
                    <w:gridCol w:w="133"/>
                    <w:gridCol w:w="388"/>
                    <w:gridCol w:w="738"/>
                    <w:gridCol w:w="150"/>
                    <w:gridCol w:w="160"/>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APT攻击预警平台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DAS-APT1000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流量探针</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DAS-ABL-SP-600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大数据安全智能管理平台</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DAS-ABL-800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EDR系统</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EDR-EE-3000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Web应用防火墙</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DAS-WAF-1000AG</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安全运维审计系统</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DAS-USM500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爱数备份一体机</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AB1000-20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明鉴漏洞扫描系统</w:t>
                        </w:r>
                      </w:p>
                    </w:tc>
                    <w:tc>
                      <w:tcPr>
                        <w:tcW w:type="dxa" w:w="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DAS-RAS-H1000</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pPr>
                    <w:pStyle w:val="null3"/>
                    <w:jc w:val="left"/>
                  </w:pPr>
                  <w:r>
                    <w:rPr>
                      <w:rFonts w:ascii="仿宋_GB2312" w:hAnsi="仿宋_GB2312" w:cs="仿宋_GB2312" w:eastAsia="仿宋_GB2312"/>
                      <w:sz w:val="24"/>
                    </w:rPr>
                    <w:t>1）针对现网提供1年期原厂维保、特征库升级及相关续购服务。</w:t>
                  </w:r>
                </w:p>
                <w:p>
                  <w:pPr>
                    <w:pStyle w:val="null3"/>
                    <w:jc w:val="left"/>
                  </w:pPr>
                  <w:r>
                    <w:rPr>
                      <w:rFonts w:ascii="仿宋_GB2312" w:hAnsi="仿宋_GB2312" w:cs="仿宋_GB2312" w:eastAsia="仿宋_GB2312"/>
                      <w:sz w:val="24"/>
                    </w:rPr>
                    <w:t>2）服务期内提供原厂工程师对设备的巡检、策略优化和故障排查服务，备机服务，数据迁移服务，应急保障服务。</w:t>
                  </w:r>
                </w:p>
                <w:p>
                  <w:pPr>
                    <w:pStyle w:val="null3"/>
                    <w:jc w:val="left"/>
                  </w:pPr>
                  <w:r>
                    <w:rPr>
                      <w:rFonts w:ascii="仿宋_GB2312" w:hAnsi="仿宋_GB2312" w:cs="仿宋_GB2312" w:eastAsia="仿宋_GB2312"/>
                      <w:sz w:val="24"/>
                    </w:rPr>
                    <w:t>3）设备故障响应时间小于40分钟，2个小时内需到现场，4个小时内提供解决方案。</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设备巡检及报告解读、安全服务现场支撑服务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1）每月至少提供一次巡检服务并提供巡检报告；由安全分析专家收集核心设备、系统和安全设备的信息，完成当月的重大事件分析报告；</w:t>
                  </w:r>
                </w:p>
                <w:p>
                  <w:pPr>
                    <w:pStyle w:val="null3"/>
                    <w:jc w:val="left"/>
                  </w:pPr>
                  <w:r>
                    <w:rPr>
                      <w:rFonts w:ascii="仿宋_GB2312" w:hAnsi="仿宋_GB2312" w:cs="仿宋_GB2312" w:eastAsia="仿宋_GB2312"/>
                      <w:sz w:val="24"/>
                    </w:rPr>
                    <w:t>2）包含堡垒机、漏洞扫描、镜像分流器、全流量审计服务、自动化处置响应、日志审计设备的策略优化、告警分析、故障处理、风险定位溯源等服务。</w:t>
                  </w:r>
                </w:p>
                <w:p>
                  <w:pPr>
                    <w:pStyle w:val="null3"/>
                    <w:jc w:val="left"/>
                  </w:pPr>
                  <w:r>
                    <w:rPr>
                      <w:rFonts w:ascii="仿宋_GB2312" w:hAnsi="仿宋_GB2312" w:cs="仿宋_GB2312" w:eastAsia="仿宋_GB2312"/>
                      <w:sz w:val="24"/>
                    </w:rPr>
                    <w:t>3）由安全服务专家每月提供一次风险汇报，提供汇总报告和处置建议。</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9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网络等保测评</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按照等级保护</w:t>
                  </w:r>
                  <w:r>
                    <w:rPr>
                      <w:rFonts w:ascii="仿宋_GB2312" w:hAnsi="仿宋_GB2312" w:cs="仿宋_GB2312" w:eastAsia="仿宋_GB2312"/>
                      <w:sz w:val="24"/>
                    </w:rPr>
                    <w:t>2.0标准要求，协助采购单位完成网络平台的定级，协助雁塔区电子政务网络平台通过等级保护测评，完成备案工作，并出具测评报告</w:t>
                  </w:r>
                  <w:r>
                    <w:rPr>
                      <w:rFonts w:ascii="仿宋_GB2312" w:hAnsi="仿宋_GB2312" w:cs="仿宋_GB2312" w:eastAsia="仿宋_GB2312"/>
                      <w:sz w:val="24"/>
                    </w:rPr>
                    <w:t>。</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9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网络安全监测保障服务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服务期内升级明御</w:t>
                  </w:r>
                  <w:r>
                    <w:rPr>
                      <w:rFonts w:ascii="仿宋_GB2312" w:hAnsi="仿宋_GB2312" w:cs="仿宋_GB2312" w:eastAsia="仿宋_GB2312"/>
                      <w:sz w:val="24"/>
                    </w:rPr>
                    <w:t>APT攻击预警平台(DAS-APT1000)，提升至万兆性能,设备可使用的链路不少于2条，保障监测数据的完整性，</w:t>
                  </w:r>
                  <w:r>
                    <w:rPr>
                      <w:rFonts w:ascii="仿宋_GB2312" w:hAnsi="仿宋_GB2312" w:cs="仿宋_GB2312" w:eastAsia="仿宋_GB2312"/>
                      <w:sz w:val="24"/>
                    </w:rPr>
                    <w:t>为保证本项服务所</w:t>
                  </w:r>
                  <w:r>
                    <w:rPr>
                      <w:rFonts w:ascii="仿宋_GB2312" w:hAnsi="仿宋_GB2312" w:cs="仿宋_GB2312" w:eastAsia="仿宋_GB2312"/>
                      <w:sz w:val="24"/>
                    </w:rPr>
                    <w:t>提供的辅材或者配件归采购人所有。</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升级全流量审计设备安博通鹰眼全流量取证系统</w:t>
                  </w:r>
                  <w:r>
                    <w:rPr>
                      <w:rFonts w:ascii="仿宋_GB2312" w:hAnsi="仿宋_GB2312" w:cs="仿宋_GB2312" w:eastAsia="仿宋_GB2312"/>
                      <w:sz w:val="24"/>
                    </w:rPr>
                    <w:t>FSV-G2510性能，升级万兆性能，可使用的链路不少于2条，保证数据的完整性，</w:t>
                  </w:r>
                  <w:r>
                    <w:rPr>
                      <w:rFonts w:ascii="仿宋_GB2312" w:hAnsi="仿宋_GB2312" w:cs="仿宋_GB2312" w:eastAsia="仿宋_GB2312"/>
                      <w:sz w:val="24"/>
                    </w:rPr>
                    <w:t>为保证本项服务所</w:t>
                  </w:r>
                  <w:r>
                    <w:rPr>
                      <w:rFonts w:ascii="仿宋_GB2312" w:hAnsi="仿宋_GB2312" w:cs="仿宋_GB2312" w:eastAsia="仿宋_GB2312"/>
                      <w:sz w:val="24"/>
                    </w:rPr>
                    <w:t>提供的辅材或者配件归采购人所有。</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提供流量镜像服务，具备不少于六条万兆性能的数据分流和多条千兆数据镜像分流，提供给网络安全分析和审计设备，保障数据的完整性和及时性</w:t>
                  </w:r>
                  <w:r>
                    <w:rPr>
                      <w:rFonts w:ascii="仿宋_GB2312" w:hAnsi="仿宋_GB2312" w:cs="仿宋_GB2312" w:eastAsia="仿宋_GB2312"/>
                      <w:sz w:val="24"/>
                    </w:rPr>
                    <w:t>，</w:t>
                  </w:r>
                  <w:r>
                    <w:rPr>
                      <w:rFonts w:ascii="仿宋_GB2312" w:hAnsi="仿宋_GB2312" w:cs="仿宋_GB2312" w:eastAsia="仿宋_GB2312"/>
                      <w:sz w:val="24"/>
                    </w:rPr>
                    <w:t>为保证本项服务所</w:t>
                  </w:r>
                  <w:r>
                    <w:rPr>
                      <w:rFonts w:ascii="仿宋_GB2312" w:hAnsi="仿宋_GB2312" w:cs="仿宋_GB2312" w:eastAsia="仿宋_GB2312"/>
                      <w:sz w:val="24"/>
                    </w:rPr>
                    <w:t>提供的辅材或者配件归采购人所有。</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r>
                    <w:rPr>
                      <w:rFonts w:ascii="仿宋_GB2312" w:hAnsi="仿宋_GB2312" w:cs="仿宋_GB2312" w:eastAsia="仿宋_GB2312"/>
                      <w:sz w:val="21"/>
                    </w:rPr>
                    <w:t xml:space="preserve"> </w:t>
                  </w:r>
                </w:p>
              </w:tc>
            </w:tr>
            <w:tr>
              <w:tc>
                <w:tcPr>
                  <w:tcW w:type="dxa" w:w="1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9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网络出口性能保障服务</w:t>
                  </w:r>
                </w:p>
              </w:tc>
              <w:tc>
                <w:tcPr>
                  <w:tcW w:type="dxa" w:w="17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通过网络保障服务，保障电子政务互联网带宽从终端到出口都具备万兆性能，保障网络设备的双冗余，适合现在的的网络环境。提供服务工具，服务工具至少包含</w:t>
                  </w:r>
                  <w:r>
                    <w:rPr>
                      <w:rFonts w:ascii="仿宋_GB2312" w:hAnsi="仿宋_GB2312" w:cs="仿宋_GB2312" w:eastAsia="仿宋_GB2312"/>
                      <w:sz w:val="24"/>
                    </w:rPr>
                    <w:t>24 个 10GE SFP+端口，6 个 40GE QSFP+端口，可插拔双电源，支持 1+1 电源备份</w:t>
                  </w:r>
                  <w:r>
                    <w:rPr>
                      <w:rFonts w:ascii="仿宋_GB2312" w:hAnsi="仿宋_GB2312" w:cs="仿宋_GB2312" w:eastAsia="仿宋_GB2312"/>
                      <w:sz w:val="24"/>
                    </w:rPr>
                    <w:t>，</w:t>
                  </w:r>
                  <w:r>
                    <w:rPr>
                      <w:rFonts w:ascii="仿宋_GB2312" w:hAnsi="仿宋_GB2312" w:cs="仿宋_GB2312" w:eastAsia="仿宋_GB2312"/>
                      <w:sz w:val="24"/>
                    </w:rPr>
                    <w:t>为保证本项服务所</w:t>
                  </w:r>
                  <w:r>
                    <w:rPr>
                      <w:rFonts w:ascii="仿宋_GB2312" w:hAnsi="仿宋_GB2312" w:cs="仿宋_GB2312" w:eastAsia="仿宋_GB2312"/>
                      <w:sz w:val="24"/>
                    </w:rPr>
                    <w:t>提供的辅材或者配件归采购人所有。</w:t>
                  </w:r>
                  <w:r>
                    <w:rPr>
                      <w:rFonts w:ascii="仿宋_GB2312" w:hAnsi="仿宋_GB2312" w:cs="仿宋_GB2312" w:eastAsia="仿宋_GB2312"/>
                      <w:sz w:val="24"/>
                    </w:rPr>
                    <w:t>（</w:t>
                  </w:r>
                  <w:r>
                    <w:rPr>
                      <w:rFonts w:ascii="仿宋_GB2312" w:hAnsi="仿宋_GB2312" w:cs="仿宋_GB2312" w:eastAsia="仿宋_GB2312"/>
                      <w:sz w:val="24"/>
                      <w:b/>
                    </w:rPr>
                    <w:t>提供</w:t>
                  </w:r>
                  <w:r>
                    <w:rPr>
                      <w:rFonts w:ascii="仿宋_GB2312" w:hAnsi="仿宋_GB2312" w:cs="仿宋_GB2312" w:eastAsia="仿宋_GB2312"/>
                      <w:sz w:val="24"/>
                      <w:b/>
                    </w:rPr>
                    <w:t>相应证明材料。</w:t>
                  </w:r>
                  <w:r>
                    <w:rPr>
                      <w:rFonts w:ascii="仿宋_GB2312" w:hAnsi="仿宋_GB2312" w:cs="仿宋_GB2312" w:eastAsia="仿宋_GB2312"/>
                      <w:sz w:val="24"/>
                    </w:rPr>
                    <w:t>）</w:t>
                  </w:r>
                  <w:r>
                    <w:rPr>
                      <w:rFonts w:ascii="仿宋_GB2312" w:hAnsi="仿宋_GB2312" w:cs="仿宋_GB2312" w:eastAsia="仿宋_GB2312"/>
                      <w:sz w:val="21"/>
                    </w:rPr>
                    <w:t xml:space="preserve"> </w:t>
                  </w:r>
                </w:p>
              </w:tc>
            </w:tr>
          </w:tbl>
          <w:p>
            <w:pPr>
              <w:pStyle w:val="null3"/>
              <w:jc w:val="both"/>
            </w:pPr>
            <w:r>
              <w:rPr>
                <w:rFonts w:ascii="仿宋_GB2312" w:hAnsi="仿宋_GB2312" w:cs="仿宋_GB2312" w:eastAsia="仿宋_GB2312"/>
                <w:sz w:val="24"/>
              </w:rPr>
              <w:t>三、服务要求</w:t>
            </w:r>
          </w:p>
          <w:p>
            <w:pPr>
              <w:pStyle w:val="null3"/>
              <w:jc w:val="both"/>
            </w:pPr>
            <w:r>
              <w:rPr>
                <w:rFonts w:ascii="仿宋_GB2312" w:hAnsi="仿宋_GB2312" w:cs="仿宋_GB2312" w:eastAsia="仿宋_GB2312"/>
                <w:sz w:val="24"/>
              </w:rPr>
              <w:t>1.本项目要求供应商提供安全设备原厂工程师</w:t>
            </w:r>
            <w:r>
              <w:rPr>
                <w:rFonts w:ascii="仿宋_GB2312" w:hAnsi="仿宋_GB2312" w:cs="仿宋_GB2312" w:eastAsia="仿宋_GB2312"/>
                <w:sz w:val="24"/>
                <w:color w:val="0000FF"/>
                <w:u w:val="single"/>
              </w:rPr>
              <w:t>到</w:t>
            </w:r>
            <w:r>
              <w:rPr>
                <w:rFonts w:ascii="仿宋_GB2312" w:hAnsi="仿宋_GB2312" w:cs="仿宋_GB2312" w:eastAsia="仿宋_GB2312"/>
                <w:sz w:val="24"/>
              </w:rPr>
              <w:t>场</w:t>
            </w:r>
            <w:r>
              <w:rPr>
                <w:rFonts w:ascii="仿宋_GB2312" w:hAnsi="仿宋_GB2312" w:cs="仿宋_GB2312" w:eastAsia="仿宋_GB2312"/>
                <w:sz w:val="24"/>
              </w:rPr>
              <w:t>服务，服务内容不限于策略优化、故障处理、巡检等，单次响应时间小于</w:t>
            </w:r>
            <w:r>
              <w:rPr>
                <w:rFonts w:ascii="仿宋_GB2312" w:hAnsi="仿宋_GB2312" w:cs="仿宋_GB2312" w:eastAsia="仿宋_GB2312"/>
                <w:sz w:val="24"/>
              </w:rPr>
              <w:t>40分钟。</w:t>
            </w:r>
          </w:p>
          <w:p>
            <w:pPr>
              <w:pStyle w:val="null3"/>
              <w:jc w:val="both"/>
            </w:pPr>
            <w:r>
              <w:rPr>
                <w:rFonts w:ascii="仿宋_GB2312" w:hAnsi="仿宋_GB2312" w:cs="仿宋_GB2312" w:eastAsia="仿宋_GB2312"/>
                <w:sz w:val="24"/>
              </w:rPr>
              <w:t>2.本项目需配套提供设备安全巡检、应急响应、重大活动保障服务，要求服务人员具备丰富的相关工作经验和能力。</w:t>
            </w:r>
          </w:p>
          <w:p>
            <w:pPr>
              <w:pStyle w:val="null3"/>
              <w:jc w:val="both"/>
            </w:pPr>
            <w:r>
              <w:rPr>
                <w:rFonts w:ascii="仿宋_GB2312" w:hAnsi="仿宋_GB2312" w:cs="仿宋_GB2312" w:eastAsia="仿宋_GB2312"/>
                <w:sz w:val="24"/>
              </w:rPr>
              <w:t>3.本次提供的服务工具和辅材，质量和功能稳定、可靠，不能影响区政府正常网络及业务运行，如若造成客户处重大事故及问题，供应商根据造成的损失承担相应的责任。</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.要求服务人员熟悉政府的工作要求，理解电子政务网络运维的重要性，人员背景可靠符合政府用工要求。</w:t>
            </w:r>
            <w:r>
              <w:rPr>
                <w:rFonts w:ascii="仿宋_GB2312" w:hAnsi="仿宋_GB2312" w:cs="仿宋_GB2312" w:eastAsia="仿宋_GB2312"/>
                <w:sz w:val="24"/>
              </w:rPr>
              <w:t>在采购人现场工作的服务人员办公期间不从事与现场岗位无关的活动。服务人员未征得同意，不得使用相关用户的计算机，不得随意翻看用户办公资料物品；未经同意，不得拍摄、传播、留存用户相关数据信息；不得私自拷贝用户业务系统中的任何数据和程序；所有重要操作行为均需进行报备方可进行，并对操作行为和结果进行记录。</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供应商应提供本项目服务所需的所有必备工具、零配件、辅料辅材、办公设施等，工具应包括但不限于本项目要求的工具类型、数量，工具符合国家和政府行业标准规范要求。本次服务的所提供的所有租用服务工具数据（包括但不限于系统运行产生的数据、图像及视频信息）的所有权归采购人所有，采购人对本项目中的全部数据资料具有独占性，未经采购人同意，供应商无权使用、转让或处理服务过程、成果数据。供应商不得保存和远程备份服务工具的数据，但应提供合适的技术手段，使之不被破坏、未经授权删除或盗取，并使采购人能合理使用、处理和备份服务相关数据。</w:t>
            </w:r>
          </w:p>
          <w:p>
            <w:pPr>
              <w:pStyle w:val="null3"/>
              <w:jc w:val="both"/>
            </w:pPr>
            <w:r>
              <w:rPr>
                <w:rFonts w:ascii="仿宋_GB2312" w:hAnsi="仿宋_GB2312" w:cs="仿宋_GB2312" w:eastAsia="仿宋_GB2312"/>
                <w:sz w:val="24"/>
              </w:rPr>
              <w:t>四、其他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）进度要求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合同签订后一个周内，驻场服务人员必须全部到场，</w:t>
            </w:r>
            <w:r>
              <w:rPr>
                <w:rFonts w:ascii="仿宋_GB2312" w:hAnsi="仿宋_GB2312" w:cs="仿宋_GB2312" w:eastAsia="仿宋_GB2312"/>
                <w:sz w:val="24"/>
              </w:rPr>
              <w:t>若服务期间</w:t>
            </w:r>
            <w:r>
              <w:rPr>
                <w:rFonts w:ascii="仿宋_GB2312" w:hAnsi="仿宋_GB2312" w:cs="仿宋_GB2312" w:eastAsia="仿宋_GB2312"/>
                <w:sz w:val="24"/>
              </w:rPr>
              <w:t>服务人员</w:t>
            </w:r>
            <w:r>
              <w:rPr>
                <w:rFonts w:ascii="仿宋_GB2312" w:hAnsi="仿宋_GB2312" w:cs="仿宋_GB2312" w:eastAsia="仿宋_GB2312"/>
                <w:sz w:val="24"/>
              </w:rPr>
              <w:t>不能达到</w:t>
            </w:r>
            <w:r>
              <w:rPr>
                <w:rFonts w:ascii="仿宋_GB2312" w:hAnsi="仿宋_GB2312" w:cs="仿宋_GB2312" w:eastAsia="仿宋_GB2312"/>
                <w:sz w:val="24"/>
              </w:rPr>
              <w:t>采购人要求</w:t>
            </w:r>
            <w:r>
              <w:rPr>
                <w:rFonts w:ascii="仿宋_GB2312" w:hAnsi="仿宋_GB2312" w:cs="仿宋_GB2312" w:eastAsia="仿宋_GB2312"/>
                <w:sz w:val="24"/>
              </w:rPr>
              <w:t>并勒令更换的</w:t>
            </w:r>
            <w:r>
              <w:rPr>
                <w:rFonts w:ascii="仿宋_GB2312" w:hAnsi="仿宋_GB2312" w:cs="仿宋_GB2312" w:eastAsia="仿宋_GB2312"/>
                <w:sz w:val="24"/>
              </w:rPr>
              <w:t>，</w:t>
            </w:r>
            <w:r>
              <w:rPr>
                <w:rFonts w:ascii="仿宋_GB2312" w:hAnsi="仿宋_GB2312" w:cs="仿宋_GB2312" w:eastAsia="仿宋_GB2312"/>
                <w:sz w:val="24"/>
              </w:rPr>
              <w:t>需</w:t>
            </w:r>
            <w:r>
              <w:rPr>
                <w:rFonts w:ascii="仿宋_GB2312" w:hAnsi="仿宋_GB2312" w:cs="仿宋_GB2312" w:eastAsia="仿宋_GB2312"/>
                <w:sz w:val="24"/>
              </w:rPr>
              <w:t>三日内</w:t>
            </w:r>
            <w:r>
              <w:rPr>
                <w:rFonts w:ascii="仿宋_GB2312" w:hAnsi="仿宋_GB2312" w:cs="仿宋_GB2312" w:eastAsia="仿宋_GB2312"/>
                <w:sz w:val="24"/>
              </w:rPr>
              <w:t>调整完毕并报采购人批准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）成果交付要求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按照服务内容要求提供服务实施方案、实施计划、服务团队情况，按期提供交付报告。</w:t>
            </w:r>
          </w:p>
          <w:tbl>
            <w:tblPr>
              <w:tblInd w:type="dxa" w:w="135"/>
              <w:tblBorders>
                <w:top w:val="none" w:color="000000" w:sz="4"/>
                <w:left w:val="none" w:color="000000" w:sz="4"/>
                <w:bottom w:val="none" w:color="000000" w:sz="4"/>
                <w:right w:val="none" w:color="000000" w:sz="4"/>
                <w:insideH w:val="none"/>
                <w:insideV w:val="none"/>
              </w:tblBorders>
            </w:tblPr>
            <w:tblGrid>
              <w:gridCol w:w="150"/>
              <w:gridCol w:w="795"/>
              <w:gridCol w:w="1608"/>
            </w:tblGrid>
            <w:tr>
              <w:tc>
                <w:tcPr>
                  <w:tcW w:type="dxa" w:w="1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编号</w:t>
                  </w:r>
                </w:p>
              </w:tc>
              <w:tc>
                <w:tcPr>
                  <w:tcW w:type="dxa" w:w="7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w:t>
                  </w:r>
                  <w:r>
                    <w:rPr>
                      <w:rFonts w:ascii="仿宋_GB2312" w:hAnsi="仿宋_GB2312" w:cs="仿宋_GB2312" w:eastAsia="仿宋_GB2312"/>
                      <w:sz w:val="24"/>
                      <w:b/>
                    </w:rPr>
                    <w:t>内容</w:t>
                  </w:r>
                </w:p>
              </w:tc>
              <w:tc>
                <w:tcPr>
                  <w:tcW w:type="dxa" w:w="16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交付要求</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终端合规性服务及安全审查服务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终端合规性及安全审查报告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标准等保工具定期检查服务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等保工具检查服务报告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网络安全风险评估服务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网络安全风险评估报告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重大活动保障服务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重大活动保障方案及过程文档</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恶意代码检测服务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恶意代码检测报告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咨询规划服务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规划咨询报告及记录单</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应急响应服务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应急响应报告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安全驻场及运维服务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驻场月度报告；</w:t>
                  </w:r>
                </w:p>
                <w:p>
                  <w:pPr>
                    <w:pStyle w:val="null3"/>
                    <w:jc w:val="both"/>
                  </w:pPr>
                  <w:r>
                    <w:rPr>
                      <w:rFonts w:ascii="仿宋_GB2312" w:hAnsi="仿宋_GB2312" w:cs="仿宋_GB2312" w:eastAsia="仿宋_GB2312"/>
                      <w:sz w:val="24"/>
                    </w:rPr>
                    <w:t>7*24小时托管运营月报及风险记录处置汇总表；</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政府机房设备及网络保障服务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资产梳理报告；</w:t>
                  </w:r>
                </w:p>
                <w:p>
                  <w:pPr>
                    <w:pStyle w:val="null3"/>
                    <w:jc w:val="both"/>
                  </w:pPr>
                  <w:r>
                    <w:rPr>
                      <w:rFonts w:ascii="仿宋_GB2312" w:hAnsi="仿宋_GB2312" w:cs="仿宋_GB2312" w:eastAsia="仿宋_GB2312"/>
                      <w:sz w:val="24"/>
                    </w:rPr>
                    <w:t>维修及更换设备过程文档；</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日常驻场网络及基础设施运维服务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月度驻场报告；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设备维保服务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维保实施文档</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设备巡检及报告解读、安全服务现场支撑服务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12份设备月度巡检报告</w:t>
                  </w:r>
                </w:p>
                <w:p>
                  <w:pPr>
                    <w:pStyle w:val="null3"/>
                    <w:jc w:val="both"/>
                  </w:pPr>
                  <w:r>
                    <w:rPr>
                      <w:rFonts w:ascii="仿宋_GB2312" w:hAnsi="仿宋_GB2312" w:cs="仿宋_GB2312" w:eastAsia="仿宋_GB2312"/>
                      <w:sz w:val="24"/>
                    </w:rPr>
                    <w:t>月度安全风险汇总报告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7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网络等保测评</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等保测评备案资料及测评报告</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79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网络安全监测保障服务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保障方案；</w:t>
                  </w:r>
                </w:p>
                <w:p>
                  <w:pPr>
                    <w:pStyle w:val="null3"/>
                    <w:jc w:val="both"/>
                  </w:pPr>
                  <w:r>
                    <w:rPr>
                      <w:rFonts w:ascii="仿宋_GB2312" w:hAnsi="仿宋_GB2312" w:cs="仿宋_GB2312" w:eastAsia="仿宋_GB2312"/>
                      <w:sz w:val="24"/>
                    </w:rPr>
                    <w:t>实施交付文档</w:t>
                  </w:r>
                </w:p>
              </w:tc>
            </w:tr>
            <w:tr>
              <w:tc>
                <w:tcPr>
                  <w:tcW w:type="dxa" w:w="1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网络出口性能保障服务</w:t>
                  </w:r>
                </w:p>
              </w:tc>
              <w:tc>
                <w:tcPr>
                  <w:tcW w:type="dxa" w:w="16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保障方案；</w:t>
                  </w:r>
                </w:p>
                <w:p>
                  <w:pPr>
                    <w:pStyle w:val="null3"/>
                    <w:jc w:val="both"/>
                  </w:pPr>
                  <w:r>
                    <w:rPr>
                      <w:rFonts w:ascii="仿宋_GB2312" w:hAnsi="仿宋_GB2312" w:cs="仿宋_GB2312" w:eastAsia="仿宋_GB2312"/>
                      <w:sz w:val="24"/>
                    </w:rPr>
                    <w:t>实施交付文档</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成交供应商应保证采购人在使用所涉技术方案或其任何一部分技术资料时，免受第三 方提出侵犯其专利权、商标权或工业设计权等知识产权的起诉。如果发生诉讼，所有费用和责任由成交供应商承担。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在合同签订后1个月内，收到中标供应商开出的发票后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等级保护测评通过后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项目实施完毕</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双方在履行合同过程中，若发生争议，可以协商解决。如协商未果，双方向甲方所在地人民法院提起诉讼。乙方如果没有按照本合同约定履行合同，甲方有权终止合同。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应保证采购人在使用所涉技术方案或其任何一部分技术资料时，免受第三方提出侵犯其专利权、商标权或工业设计权等知识产权的起诉。如果发生诉讼，所有费用和责任由成交供应商承担。2.关于符合本国产品标准的声明函 （1）政府采购活动中既有本国产品又有非本国产品参与竞争的，依法对本国产品给予价格评审优惠，对本国产品的报价给予20%的价格扣除，用扣除后的价格参与评审。（供应商提供虚假《声明函》、虚假证明文件谋取中标、成交的，依照《中华人民共和国政府采购法》等法律法规规定追究相应责任。） （2）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供应商提供虚假《声明函》、虚假证明文件谋取中标、成交的，依照《中华人民共和国政府采购法》等法律法规规定追究相应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 2、税收缴纳证明：提供响应文件截止时间前1年内至少3个月的依法缴纳税收的相关凭据（时间以税款所属日期为准、税种须至少包含增值税或企业所得税），凭据应有税务机关或代收机关的公章或业务专用章。依法免税或无须缴纳税收的供应商，应提供相应证明文件； 3、社会保障资金缴纳证明：提供响应文件截止时间前1年内至少3个月的社会保障资金缴存单据或社保机构开具的社会保险参保缴费情况证明，单据或证明上应有社保机构或代收机构的公章或业务专用章；（依法不需要缴纳社会保障资金的投标供应商应提供相关证明）。 4、具有履行合同所必需的设备和专业技术能力的说明及承诺（提供相应承诺）。 5、提供参加本次政府采购活动前三年内在经营活动中没有重大违法记录的书面声明。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响应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关于符合本国产品标准的声明函.docx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二.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 三、强化政府采购异常低价审查 （一）政府采购评审中出现下列情形之一的，评审委员会应当启动异常低价投标（响应）审查程序：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二）评审委员会启动异常低价投标（响应）审查后，相关供应商在评审现场合理的时间内对投标（响应）价格作出解释，提供项目具体成本测算等与报价合理性相关的书面说明及必要的证明材料，包括但不限于原材料成本、人工成本、制造费用等。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付款方式符合磋商文件要求；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服务期限符合磋商文件要求；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1、报价唯一；2、报价货币符合磋商文件要求；3、未超出磋商文件规定的采购预算或最高限价。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是否符合法律、法规和磋商文件中规定的其他实质性要求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服务内容及服务要求应答表.docx 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本项目服务内容的技术要求与功能要求原则为适当超前，主流、成熟且稳定。带“▲”号项为重要技术要求，需提供相应证明材料，每负偏离一项扣除1分；其他未带标识项为一般功能项，每负偏离一项扣除0.5分，未提供不得分。 （证明材料包括但不限于：官网截图、功能截图、检测报告等，供应商仅提供以上内容当中的一项即可，提供多项证明材料的，若发生不一致的情况，以不利于供应商情况进行评审。）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本项目服务方案，根据采购需求提供服务方案需包含：(1)终端合规性服务及安全审查服务；(2)标准等保工具定期检查服务；(3)网络安全风险评估服务；(4)重大活动保障服务；(5)恶意代码检测服务；(6)咨询规划服务；(7)应急响应服务；(8)安全驻场及运维服务；(9)政府机房设备及网络保障服务；(10)日常驻场网络及基础设施运维服务；(11)设备维保服务；(12)设备巡检及报告解读、安全服务现场支撑服务；(13)网络等保测评；(14)网络安全监测保障服务；(15)网络出口性能保障服务。上述内容每项最高得3分，满分30分。 评审标准： 1、方案内容专门针对本项目编制，符合本项目实际情况及实施要求，方案详尽、方案涵盖角度全面，合理性和可行性强，能够保障项目顺利实施的，得3分； 2、供应商提供了方案，但内容简单笼统仅为简要概述的，得1.5分。有缺陷或未响应不得分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1.本科及以上学历； 2.具备8年及以上工作经验； 3.具有软考中级及以上信息安全工程师职称资格证书； 4.具有注册渗透测试工程师：CISP-PTE证书或CISP-PTS证书或CISAW(渗透测试)； 5.具有注册应急响应工程师CISP-IRE或注册应急响应专家CISP-IRS或注册威胁响应工程师CISP-TRE或注册威胁响应专家CISP-TRS或网络安全应急响应工程师CSERE或网络安全能力认证（CCSC）任意一项证书； 按照要求提供全部证明材料的得5分，未能提供有效证明材料的每项扣1分，未提供不得分。 （注：需提供学历证书、相关认证证书、简历，人员工作经验以提供的学历证书毕业时间为准。）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项目服务团队1</w:t>
            </w:r>
          </w:p>
        </w:tc>
        <w:tc>
          <w:tcPr>
            <w:tcW w:type="dxa" w:w="2492"/>
          </w:tcPr>
          <w:p>
            <w:pPr>
              <w:pStyle w:val="null3"/>
            </w:pPr>
            <w:r>
              <w:rPr>
                <w:rFonts w:ascii="仿宋_GB2312" w:hAnsi="仿宋_GB2312" w:cs="仿宋_GB2312" w:eastAsia="仿宋_GB2312"/>
              </w:rPr>
              <w:t>为保障项目质量以及服务的稳定性，投入的服务团队具备应急、漏洞、数据安全、安全运维等工作能力和经验，需不少于10人（包含项目负责人），其中驻场服务人员不少于3人，提供服务团队工作方案，视响应情况横向对比，方案内容完整，具体措施可靠，可操作性强，人员安排科学、合理、完全满足采购需求计5分；方案内容较完整，具体措施可靠性一般、可操作性一般，人员安排基本满足实际需要计3分；方案内容欠缺完整清晰，具体措施较差、可操作性较差，需要优化后才能满足实际需要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拟派团队人员.docx</w:t>
            </w:r>
          </w:p>
        </w:tc>
      </w:tr>
      <w:tr>
        <w:tc>
          <w:tcPr>
            <w:tcW w:type="dxa" w:w="831"/>
            <w:vMerge/>
          </w:tcPr>
          <w:p/>
        </w:tc>
        <w:tc>
          <w:tcPr>
            <w:tcW w:type="dxa" w:w="1661"/>
          </w:tcPr>
          <w:p>
            <w:pPr>
              <w:pStyle w:val="null3"/>
            </w:pPr>
            <w:r>
              <w:rPr>
                <w:rFonts w:ascii="仿宋_GB2312" w:hAnsi="仿宋_GB2312" w:cs="仿宋_GB2312" w:eastAsia="仿宋_GB2312"/>
              </w:rPr>
              <w:t>项目服务团队2</w:t>
            </w:r>
          </w:p>
        </w:tc>
        <w:tc>
          <w:tcPr>
            <w:tcW w:type="dxa" w:w="2492"/>
          </w:tcPr>
          <w:p>
            <w:pPr>
              <w:pStyle w:val="null3"/>
            </w:pPr>
            <w:r>
              <w:rPr>
                <w:rFonts w:ascii="仿宋_GB2312" w:hAnsi="仿宋_GB2312" w:cs="仿宋_GB2312" w:eastAsia="仿宋_GB2312"/>
              </w:rPr>
              <w:t>服务团队：①具备注册信息安全工程师（CISP）不少于4人；②具备独立漏洞挖掘及发现能力（CNVD国家信息安全漏洞共享平台原创漏洞证明）不少于1人；③具备CISAW信息安全保障人员-安全运维资质不少于2人； ④具备中级网络软考资质的不少于1人；⑤具备软考初级的不少于2人；每提供1个得1分，最高得10分，不提供不得分。（注：需提供人员的资质证书、联系方式、工作经历等，可与项目负责人证书重复计分；同一人具有不同种类的证书按一项计算）</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要求提供2023年1月1日至开标截止时间前的同类项目（安全集成类或运维服务类）业绩合同扫描盖章件5份，需提供合同扫描盖章件；每提供一份计1分，最高得5分，不提供不得分；（注：合同扫描盖章件至少具备首页、内容页及签字盖章页，关键内容无遮挡，内容清晰可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磋商报价得分=（磋商基准价/最后磋商报价）×10。（本项目为专门面向中小企业采购的采购项目，不再执行价格评审优惠幅度等相关政策）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详见附件：拟派团队人员.docx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详见附件：关于符合本国产品标准的声明函.docx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详见附件：政府采购--磋商--服务类项目合同范本.docx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