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版本号：JZZB-[2025]-10820260105001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公寓管理项目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JZZB-[2025]-108</w:t>
      </w:r>
      <w:r>
        <w:br/>
      </w:r>
      <w:r>
        <w:br/>
      </w:r>
      <w:r>
        <w:br/>
      </w:r>
    </w:p>
    <w:p>
      <w:pPr>
        <w:pStyle w:val="null3"/>
        <w:jc w:val="center"/>
        <w:outlineLvl w:val="2"/>
      </w:pPr>
      <w:r>
        <w:rPr>
          <w:rFonts w:ascii="仿宋_GB2312" w:hAnsi="仿宋_GB2312" w:cs="仿宋_GB2312" w:eastAsia="仿宋_GB2312"/>
          <w:sz w:val="28"/>
          <w:b/>
        </w:rPr>
        <w:t>西安市阳光中学</w:t>
      </w:r>
    </w:p>
    <w:p>
      <w:pPr>
        <w:pStyle w:val="null3"/>
        <w:jc w:val="center"/>
        <w:outlineLvl w:val="2"/>
      </w:pPr>
      <w:r>
        <w:rPr>
          <w:rFonts w:ascii="仿宋_GB2312" w:hAnsi="仿宋_GB2312" w:cs="仿宋_GB2312" w:eastAsia="仿宋_GB2312"/>
          <w:sz w:val="28"/>
          <w:b/>
        </w:rPr>
        <w:t>陕西金泽盛业项目管理有限公司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陕西金泽盛业项目管理有限公司</w:t>
      </w:r>
      <w:r>
        <w:rPr>
          <w:rFonts w:ascii="仿宋_GB2312" w:hAnsi="仿宋_GB2312" w:cs="仿宋_GB2312" w:eastAsia="仿宋_GB2312"/>
        </w:rPr>
        <w:t>（以下简称“代理机构”）受</w:t>
      </w:r>
      <w:r>
        <w:rPr>
          <w:rFonts w:ascii="仿宋_GB2312" w:hAnsi="仿宋_GB2312" w:cs="仿宋_GB2312" w:eastAsia="仿宋_GB2312"/>
        </w:rPr>
        <w:t>西安市阳光中学</w:t>
      </w:r>
      <w:r>
        <w:rPr>
          <w:rFonts w:ascii="仿宋_GB2312" w:hAnsi="仿宋_GB2312" w:cs="仿宋_GB2312" w:eastAsia="仿宋_GB2312"/>
        </w:rPr>
        <w:t>委托，拟对</w:t>
      </w:r>
      <w:r>
        <w:rPr>
          <w:rFonts w:ascii="仿宋_GB2312" w:hAnsi="仿宋_GB2312" w:cs="仿宋_GB2312" w:eastAsia="仿宋_GB2312"/>
        </w:rPr>
        <w:t>公寓管理项目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公寓管理项目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阳光中学学生公寓管理服务项目，西安市阳光中学，位于西安市西影路阳光小区，占地面积19314平方米，学生公寓男生宿舍及女生宿舍可容纳900余人。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采购包1（西安市阳光中学公寓管理）：属于专门面向小微企业采购。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负责人）身份证扫描件或法定代表人授权委托书：法定代表人（或负责人）直接参加投标的，提供法定代表人（或负责人）身份证扫描件；法定代表人（或负责人）授权代表参加投标的，须提供法定代表人（或负责人）授权委托书、法定代表人（或负责人）身份证扫描件及被授权人身份证扫描件。</w:t>
      </w:r>
    </w:p>
    <w:p>
      <w:pPr>
        <w:pStyle w:val="null3"/>
      </w:pPr>
      <w:r>
        <w:rPr>
          <w:rFonts w:ascii="仿宋_GB2312" w:hAnsi="仿宋_GB2312" w:cs="仿宋_GB2312" w:eastAsia="仿宋_GB2312"/>
        </w:rPr>
        <w:t>2、关联关系：单位负责人为同一人或者存在直接控股、管理关系的不同供应商，不得参加同一合同项下的政府采购活动。</w:t>
      </w:r>
    </w:p>
    <w:p>
      <w:pPr>
        <w:pStyle w:val="null3"/>
      </w:pPr>
      <w:r>
        <w:rPr>
          <w:rFonts w:ascii="仿宋_GB2312" w:hAnsi="仿宋_GB2312" w:cs="仿宋_GB2312" w:eastAsia="仿宋_GB2312"/>
        </w:rPr>
        <w:t>3、联合体：本项目不接受联合体投标。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西安市阳光中学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西安市雁塔区西影路阳光小区内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西安市阳光中学经办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82625361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陕西金泽盛业项目管理有限公司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西安市经济技术开发区凤城五路123号秦创原软科中心A座20层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高翠翠、王闯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13109596903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采购包1：1,466,400.00元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项目成交价为基数，参照国家计委关于印发《招标代理服务收费管理暂行办法》的通知（计价格〔2002〕1980号）和《国家发展改革委关于降低部分建设项目收费标准规范收费行为等有关问题的通知》（发改价格〔2011〕534号）文件规定标准收取代理服务费。代理服务费为人民币：壹万捌仟元整（¥18000.00元）。 代理服务费由成交供应商支付，于发出成交通知书前一次性付清。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西安市阳光中学</w:t>
      </w:r>
      <w:r>
        <w:rPr>
          <w:rFonts w:ascii="仿宋_GB2312" w:hAnsi="仿宋_GB2312" w:cs="仿宋_GB2312" w:eastAsia="仿宋_GB2312"/>
        </w:rPr>
        <w:t>和</w:t>
      </w:r>
      <w:r>
        <w:rPr>
          <w:rFonts w:ascii="仿宋_GB2312" w:hAnsi="仿宋_GB2312" w:cs="仿宋_GB2312" w:eastAsia="仿宋_GB2312"/>
        </w:rPr>
        <w:t>陕西金泽盛业项目管理有限公司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西安市阳光中学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陕西金泽盛业项目管理有限公司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西安市阳光中学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陕西金泽盛业项目管理有限公司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符合现行国家、行业“合格”标准并满足采购人要求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陕西金泽盛业项目管理有限公司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联系电话：13109596903</w:t>
      </w:r>
    </w:p>
    <w:p>
      <w:pPr>
        <w:pStyle w:val="null3"/>
      </w:pPr>
      <w:r>
        <w:rPr>
          <w:rFonts w:ascii="仿宋_GB2312" w:hAnsi="仿宋_GB2312" w:cs="仿宋_GB2312" w:eastAsia="仿宋_GB2312"/>
        </w:rPr>
        <w:t>地址：西安市经济技术开发区凤城五路123号秦创原软科中心A座2001号</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阳光中学学生公寓管理服务项目，西安市阳光中学，位于西安市西影路阳光小区，占地面积19314平方米，学生公寓男生宿舍及女生宿舍可容纳900余人。</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1,466,400.00</w:t>
      </w:r>
    </w:p>
    <w:p>
      <w:pPr>
        <w:pStyle w:val="null3"/>
      </w:pPr>
      <w:r>
        <w:rPr>
          <w:rFonts w:ascii="仿宋_GB2312" w:hAnsi="仿宋_GB2312" w:cs="仿宋_GB2312" w:eastAsia="仿宋_GB2312"/>
        </w:rPr>
        <w:t>采购包最高限价（元）: 1,466,400.00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西安市阳光中学公寓管理项目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1,466,400.00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标的名称：西安市阳光中学公寓管理项目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一、项目概况</w:t>
            </w:r>
          </w:p>
          <w:p>
            <w:pPr>
              <w:pStyle w:val="null3"/>
            </w:pPr>
            <w:r>
              <w:rPr>
                <w:rFonts w:ascii="仿宋_GB2312" w:hAnsi="仿宋_GB2312" w:cs="仿宋_GB2312" w:eastAsia="仿宋_GB2312"/>
              </w:rPr>
              <w:t>阳光中学学生公寓管理服务项目，西安市阳光中学，位于西安市西影路阳光小区，占地面积</w:t>
            </w:r>
            <w:r>
              <w:rPr>
                <w:rFonts w:ascii="仿宋_GB2312" w:hAnsi="仿宋_GB2312" w:cs="仿宋_GB2312" w:eastAsia="仿宋_GB2312"/>
              </w:rPr>
              <w:t>19314平方米，学生公寓男生宿舍及女生宿舍可容纳900余人。</w:t>
            </w:r>
          </w:p>
          <w:p>
            <w:pPr>
              <w:pStyle w:val="null3"/>
            </w:pPr>
            <w:r>
              <w:rPr>
                <w:rFonts w:ascii="仿宋_GB2312" w:hAnsi="仿宋_GB2312" w:cs="仿宋_GB2312" w:eastAsia="仿宋_GB2312"/>
                <w:b/>
              </w:rPr>
              <w:t>二、服务内容</w:t>
            </w:r>
          </w:p>
          <w:p>
            <w:pPr>
              <w:pStyle w:val="null3"/>
            </w:pPr>
            <w:r>
              <w:rPr>
                <w:rFonts w:ascii="仿宋_GB2312" w:hAnsi="仿宋_GB2312" w:cs="仿宋_GB2312" w:eastAsia="仿宋_GB2312"/>
              </w:rPr>
              <w:t>1、负责宿舍楼日常管理及值守工作；</w:t>
            </w:r>
          </w:p>
          <w:p>
            <w:pPr>
              <w:pStyle w:val="null3"/>
            </w:pPr>
            <w:r>
              <w:rPr>
                <w:rFonts w:ascii="仿宋_GB2312" w:hAnsi="仿宋_GB2312" w:cs="仿宋_GB2312" w:eastAsia="仿宋_GB2312"/>
              </w:rPr>
              <w:t>2、负责学生宿舍楼内公共区域的卫生，包括走廊、楼梯、扶手、墙裙、玻璃、门窗、灭火器材、展板、画框等。</w:t>
            </w:r>
          </w:p>
          <w:p>
            <w:pPr>
              <w:pStyle w:val="null3"/>
            </w:pPr>
            <w:r>
              <w:rPr>
                <w:rFonts w:ascii="仿宋_GB2312" w:hAnsi="仿宋_GB2312" w:cs="仿宋_GB2312" w:eastAsia="仿宋_GB2312"/>
              </w:rPr>
              <w:t>3、指导学生做好宿舍内卫生清洁，牢固树立安全意识。</w:t>
            </w:r>
          </w:p>
          <w:p>
            <w:pPr>
              <w:pStyle w:val="null3"/>
            </w:pPr>
            <w:r>
              <w:rPr>
                <w:rFonts w:ascii="仿宋_GB2312" w:hAnsi="仿宋_GB2312" w:cs="仿宋_GB2312" w:eastAsia="仿宋_GB2312"/>
              </w:rPr>
              <w:t>4、对学生宿舍进行不定期巡查，发现学生违纪行为应及时制止并记录，并向宿管老师汇报；发生重大违纪事件、安全问题应维持现场秩序，要采取紧急处理措施并及时上报值班领导。</w:t>
            </w:r>
          </w:p>
          <w:p>
            <w:pPr>
              <w:pStyle w:val="null3"/>
            </w:pPr>
            <w:r>
              <w:rPr>
                <w:rFonts w:ascii="仿宋_GB2312" w:hAnsi="仿宋_GB2312" w:cs="仿宋_GB2312" w:eastAsia="仿宋_GB2312"/>
              </w:rPr>
              <w:t>5、按作息时间维护学生宿舍午休和晚上就寝的纪律，发现违纪情况及时报告、处理；晚点名不在学生，应核实情况，上报相关处室。</w:t>
            </w:r>
          </w:p>
          <w:p>
            <w:pPr>
              <w:pStyle w:val="null3"/>
            </w:pPr>
            <w:r>
              <w:rPr>
                <w:rFonts w:ascii="仿宋_GB2312" w:hAnsi="仿宋_GB2312" w:cs="仿宋_GB2312" w:eastAsia="仿宋_GB2312"/>
              </w:rPr>
              <w:t>6、遵守执行甲方的宿舍管理制度，严禁男女生互窜宿舍，禁止外来人员进入学生宿舍。</w:t>
            </w:r>
          </w:p>
          <w:p>
            <w:pPr>
              <w:pStyle w:val="null3"/>
            </w:pPr>
            <w:r>
              <w:rPr>
                <w:rFonts w:ascii="仿宋_GB2312" w:hAnsi="仿宋_GB2312" w:cs="仿宋_GB2312" w:eastAsia="仿宋_GB2312"/>
              </w:rPr>
              <w:t>7、严格按照学生上下课时间关、开宿舍楼大门，对特殊情况返回宿舍的学生，认真查验班主任等批条手续。</w:t>
            </w:r>
          </w:p>
          <w:p>
            <w:pPr>
              <w:pStyle w:val="null3"/>
            </w:pPr>
            <w:r>
              <w:rPr>
                <w:rFonts w:ascii="仿宋_GB2312" w:hAnsi="仿宋_GB2312" w:cs="仿宋_GB2312" w:eastAsia="仿宋_GB2312"/>
              </w:rPr>
              <w:t>8、及时完成学校临时安排的工作任务。</w:t>
            </w:r>
          </w:p>
          <w:p>
            <w:pPr>
              <w:pStyle w:val="null3"/>
            </w:pPr>
            <w:r>
              <w:rPr>
                <w:rFonts w:ascii="仿宋_GB2312" w:hAnsi="仿宋_GB2312" w:cs="仿宋_GB2312" w:eastAsia="仿宋_GB2312"/>
                <w:b/>
              </w:rPr>
              <w:t>三、服务要求</w:t>
            </w:r>
          </w:p>
          <w:p>
            <w:pPr>
              <w:pStyle w:val="null3"/>
            </w:pPr>
            <w:r>
              <w:rPr>
                <w:rFonts w:ascii="仿宋_GB2312" w:hAnsi="仿宋_GB2312" w:cs="仿宋_GB2312" w:eastAsia="仿宋_GB2312"/>
              </w:rPr>
              <w:t>人员配置：</w:t>
            </w:r>
          </w:p>
          <w:p>
            <w:pPr>
              <w:pStyle w:val="null3"/>
            </w:pPr>
            <w:r>
              <w:rPr>
                <w:rFonts w:ascii="仿宋_GB2312" w:hAnsi="仿宋_GB2312" w:cs="仿宋_GB2312" w:eastAsia="仿宋_GB2312"/>
              </w:rPr>
              <w:t>1、项目负责人：本科学历，管理类优先，身体健康，能熟练运用现代化办公手段，有较强文字处理能力和沟通能力，遵纪守法，责任心强有较强的管理和执行能力，具备良好的团队协作和服务意识，热爱教育事业和管理服务工作，具有学生管理相关工作经历者优先。</w:t>
            </w:r>
          </w:p>
          <w:p>
            <w:pPr>
              <w:pStyle w:val="null3"/>
            </w:pPr>
            <w:r>
              <w:rPr>
                <w:rFonts w:ascii="仿宋_GB2312" w:hAnsi="仿宋_GB2312" w:cs="仿宋_GB2312" w:eastAsia="仿宋_GB2312"/>
              </w:rPr>
              <w:t>2、宿管老师：女性，身体健康，无传染性疾病和精神病史，不超过45岁，遵守法律,具有良好的品行和职业道德，具有学生管理相关工作经历者优先。</w:t>
            </w:r>
          </w:p>
          <w:p>
            <w:pPr>
              <w:pStyle w:val="null3"/>
            </w:pPr>
            <w:r>
              <w:rPr>
                <w:rFonts w:ascii="仿宋_GB2312" w:hAnsi="仿宋_GB2312" w:cs="仿宋_GB2312" w:eastAsia="仿宋_GB2312"/>
              </w:rPr>
              <w:t>服务标准：</w:t>
            </w:r>
          </w:p>
          <w:p>
            <w:pPr>
              <w:pStyle w:val="null3"/>
            </w:pPr>
            <w:r>
              <w:rPr>
                <w:rFonts w:ascii="仿宋_GB2312" w:hAnsi="仿宋_GB2312" w:cs="仿宋_GB2312" w:eastAsia="仿宋_GB2312"/>
              </w:rPr>
              <w:t>1、依托行业标准，根据学校管理规定与服务要求，制定切实可行的宿管服务整体方案和应急预案，突发事件反应迅速，预案处置有力。</w:t>
            </w:r>
          </w:p>
          <w:p>
            <w:pPr>
              <w:pStyle w:val="null3"/>
            </w:pPr>
            <w:r>
              <w:rPr>
                <w:rFonts w:ascii="仿宋_GB2312" w:hAnsi="仿宋_GB2312" w:cs="仿宋_GB2312" w:eastAsia="仿宋_GB2312"/>
              </w:rPr>
              <w:t>2、依法办事，文明上岗，严格管理，保障学校财产和师生人身不受侵害，维护良好的学习生活秩序。</w:t>
            </w:r>
          </w:p>
          <w:p>
            <w:pPr>
              <w:pStyle w:val="null3"/>
            </w:pPr>
            <w:r>
              <w:rPr>
                <w:rFonts w:ascii="仿宋_GB2312" w:hAnsi="仿宋_GB2312" w:cs="仿宋_GB2312" w:eastAsia="仿宋_GB2312"/>
              </w:rPr>
              <w:t>3、全年无责任事故和责任案件发生，师生有安全感，对宿舍管理服务满意率在90%以上，总务处全年季度考核合格。</w:t>
            </w:r>
          </w:p>
          <w:p>
            <w:pPr>
              <w:pStyle w:val="null3"/>
            </w:pPr>
            <w:r>
              <w:rPr>
                <w:rFonts w:ascii="仿宋_GB2312" w:hAnsi="仿宋_GB2312" w:cs="仿宋_GB2312" w:eastAsia="仿宋_GB2312"/>
              </w:rPr>
              <w:t>4、树立“以师生为本”的理念，切实维护学校与师生的人身和财产安全；</w:t>
            </w:r>
          </w:p>
          <w:p>
            <w:pPr>
              <w:pStyle w:val="null3"/>
            </w:pPr>
            <w:r>
              <w:rPr>
                <w:rFonts w:ascii="仿宋_GB2312" w:hAnsi="仿宋_GB2312" w:cs="仿宋_GB2312" w:eastAsia="仿宋_GB2312"/>
              </w:rPr>
              <w:t>5、管理坚持原则、缜密严谨；服务积极主动，热情周到；处理问题高度警惕、有理有节；</w:t>
            </w:r>
          </w:p>
          <w:p>
            <w:pPr>
              <w:pStyle w:val="null3"/>
            </w:pPr>
            <w:r>
              <w:rPr>
                <w:rFonts w:ascii="仿宋_GB2312" w:hAnsi="仿宋_GB2312" w:cs="仿宋_GB2312" w:eastAsia="仿宋_GB2312"/>
              </w:rPr>
              <w:t>6、上岗人员仪表整洁，业务操作规范，礼貌待人，保持岗位卫生整洁；</w:t>
            </w:r>
          </w:p>
          <w:p>
            <w:pPr>
              <w:pStyle w:val="null3"/>
            </w:pPr>
            <w:r>
              <w:rPr>
                <w:rFonts w:ascii="仿宋_GB2312" w:hAnsi="仿宋_GB2312" w:cs="仿宋_GB2312" w:eastAsia="仿宋_GB2312"/>
              </w:rPr>
              <w:t>7、依法办事，文明上岗，险情必出。不与师生发生争吵，杜绝与师生发生冲突，禁止出手伤及师生人身安全；</w:t>
            </w:r>
          </w:p>
          <w:p>
            <w:pPr>
              <w:pStyle w:val="null3"/>
            </w:pPr>
            <w:r>
              <w:rPr>
                <w:rFonts w:ascii="仿宋_GB2312" w:hAnsi="仿宋_GB2312" w:cs="仿宋_GB2312" w:eastAsia="仿宋_GB2312"/>
                <w:b/>
              </w:rPr>
              <w:t>四、商务要求</w:t>
            </w:r>
          </w:p>
          <w:p>
            <w:pPr>
              <w:pStyle w:val="null3"/>
            </w:pPr>
            <w:r>
              <w:rPr>
                <w:rFonts w:ascii="仿宋_GB2312" w:hAnsi="仿宋_GB2312" w:cs="仿宋_GB2312" w:eastAsia="仿宋_GB2312"/>
              </w:rPr>
              <w:t>服务期：一年。</w:t>
            </w:r>
          </w:p>
          <w:p>
            <w:pPr>
              <w:pStyle w:val="null3"/>
            </w:pPr>
            <w:r>
              <w:rPr>
                <w:rFonts w:ascii="仿宋_GB2312" w:hAnsi="仿宋_GB2312" w:cs="仿宋_GB2312" w:eastAsia="仿宋_GB2312"/>
              </w:rPr>
              <w:t>付款方式：按月支付，月末结算付款，乙方需提前向甲方开具等额发票。</w:t>
            </w:r>
          </w:p>
          <w:p>
            <w:pPr>
              <w:pStyle w:val="null3"/>
            </w:pPr>
            <w:r>
              <w:rPr>
                <w:rFonts w:ascii="仿宋_GB2312" w:hAnsi="仿宋_GB2312" w:cs="仿宋_GB2312" w:eastAsia="仿宋_GB2312"/>
              </w:rPr>
              <w:t>付款依据：乙方需提交付款申请和月工作总结，甲方按相应的考评情况决定实际支付金额。</w:t>
            </w:r>
          </w:p>
          <w:p>
            <w:pPr>
              <w:pStyle w:val="null3"/>
            </w:pPr>
            <w:r>
              <w:rPr>
                <w:rFonts w:ascii="仿宋_GB2312" w:hAnsi="仿宋_GB2312" w:cs="仿宋_GB2312" w:eastAsia="仿宋_GB2312"/>
                <w:b/>
              </w:rPr>
              <w:t>五、其他</w:t>
            </w:r>
          </w:p>
          <w:p>
            <w:pPr>
              <w:pStyle w:val="null3"/>
            </w:pPr>
            <w:r>
              <w:rPr>
                <w:rFonts w:ascii="仿宋_GB2312" w:hAnsi="仿宋_GB2312" w:cs="仿宋_GB2312" w:eastAsia="仿宋_GB2312"/>
              </w:rPr>
              <w:t>考评细分：</w:t>
            </w:r>
          </w:p>
          <w:p>
            <w:pPr>
              <w:pStyle w:val="null3"/>
            </w:pPr>
            <w:r>
              <w:rPr>
                <w:rFonts w:ascii="仿宋_GB2312" w:hAnsi="仿宋_GB2312" w:cs="仿宋_GB2312" w:eastAsia="仿宋_GB2312"/>
              </w:rPr>
              <w:t>1、当月考评得分达到85分(含85分)以上，据实结算；</w:t>
            </w:r>
          </w:p>
          <w:p>
            <w:pPr>
              <w:pStyle w:val="null3"/>
            </w:pPr>
            <w:r>
              <w:rPr>
                <w:rFonts w:ascii="仿宋_GB2312" w:hAnsi="仿宋_GB2312" w:cs="仿宋_GB2312" w:eastAsia="仿宋_GB2312"/>
              </w:rPr>
              <w:t>2、当月考评得分为85分-70分之间，以85分为基准每低1分，扣除当月费用的0.5%；</w:t>
            </w:r>
          </w:p>
          <w:p>
            <w:pPr>
              <w:pStyle w:val="null3"/>
            </w:pPr>
            <w:r>
              <w:rPr>
                <w:rFonts w:ascii="仿宋_GB2312" w:hAnsi="仿宋_GB2312" w:cs="仿宋_GB2312" w:eastAsia="仿宋_GB2312"/>
              </w:rPr>
              <w:t>3、当月考评得分为70分以下，以70分为基准每低1分，扣除当月费用的2%；</w:t>
            </w:r>
          </w:p>
          <w:p>
            <w:pPr>
              <w:pStyle w:val="null3"/>
            </w:pPr>
            <w:r>
              <w:rPr>
                <w:rFonts w:ascii="仿宋_GB2312" w:hAnsi="仿宋_GB2312" w:cs="仿宋_GB2312" w:eastAsia="仿宋_GB2312"/>
              </w:rPr>
              <w:t>考评办法：</w:t>
            </w:r>
          </w:p>
          <w:p>
            <w:pPr>
              <w:pStyle w:val="null3"/>
            </w:pPr>
            <w:r>
              <w:rPr>
                <w:rFonts w:ascii="仿宋_GB2312" w:hAnsi="仿宋_GB2312" w:cs="仿宋_GB2312" w:eastAsia="仿宋_GB2312"/>
              </w:rPr>
              <w:t>1、学校每月会同乙方进行不定期检查工作，乙方缺席则以学校的检查结果为准，每月工作以全体人员出勤率、学校秩序情况、应急处理情况、治安情况等为质量标准进行评分，100分为满分。乙方在一年内如有三个月低于70分的，采购人有权终止合同。</w:t>
            </w:r>
          </w:p>
          <w:p>
            <w:pPr>
              <w:pStyle w:val="null3"/>
            </w:pPr>
            <w:r>
              <w:rPr>
                <w:rFonts w:ascii="仿宋_GB2312" w:hAnsi="仿宋_GB2312" w:cs="仿宋_GB2312" w:eastAsia="仿宋_GB2312"/>
              </w:rPr>
              <w:t>2、每次检查评分后，乙方对被扣分的工作项目须及时反工改进，限期（30个日历天）达标，如果限期内不达标或不能作出令采购人满意的详细改进计划，采购人有权终止合同。</w:t>
            </w:r>
          </w:p>
          <w:p>
            <w:pPr>
              <w:pStyle w:val="null3"/>
            </w:pPr>
            <w:r>
              <w:rPr>
                <w:rFonts w:ascii="仿宋_GB2312" w:hAnsi="仿宋_GB2312" w:cs="仿宋_GB2312" w:eastAsia="仿宋_GB2312"/>
              </w:rPr>
              <w:t>3、乙方必须配合采购人做好相关的管理工作，采购人有权监督乙方合同范围内的服务内容，如采购人需要乙方提供服务范围内的相关资料，乙方必须无条件配合，否则采购人有权扣减服务费或终止合同。</w:t>
            </w:r>
          </w:p>
          <w:tbl>
            <w:tblPr>
              <w:tblInd w:type="dxa" w:w="210"/>
              <w:tblBorders>
                <w:top w:val="none" w:color="000000" w:sz="4"/>
                <w:left w:val="none" w:color="000000" w:sz="4"/>
                <w:bottom w:val="none" w:color="000000" w:sz="4"/>
                <w:right w:val="none" w:color="000000" w:sz="4"/>
                <w:insideH w:val="none"/>
                <w:insideV w:val="none"/>
              </w:tblBorders>
            </w:tblPr>
            <w:tblGrid>
              <w:gridCol w:w="334"/>
              <w:gridCol w:w="1504"/>
              <w:gridCol w:w="258"/>
              <w:gridCol w:w="456"/>
            </w:tblGrid>
            <w:tr>
              <w:tc>
                <w:tcPr>
                  <w:tcW w:type="dxa" w:w="2552"/>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宿舍管理月考评表</w:t>
                  </w:r>
                </w:p>
              </w:tc>
            </w:tr>
            <w:tr>
              <w:tc>
                <w:tcPr>
                  <w:tcW w:type="dxa" w:w="3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服务单位</w:t>
                  </w:r>
                </w:p>
              </w:tc>
              <w:tc>
                <w:tcPr>
                  <w:tcW w:type="dxa" w:w="1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71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年</w:t>
                  </w:r>
                  <w:r>
                    <w:rPr>
                      <w:rFonts w:ascii="仿宋_GB2312" w:hAnsi="仿宋_GB2312" w:cs="仿宋_GB2312" w:eastAsia="仿宋_GB2312"/>
                      <w:sz w:val="19"/>
                    </w:rPr>
                    <w:t xml:space="preserve">      </w:t>
                  </w:r>
                  <w:r>
                    <w:rPr>
                      <w:rFonts w:ascii="仿宋_GB2312" w:hAnsi="仿宋_GB2312" w:cs="仿宋_GB2312" w:eastAsia="仿宋_GB2312"/>
                      <w:sz w:val="19"/>
                    </w:rPr>
                    <w:t>月</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序号</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检查内容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分值</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得分</w:t>
                  </w: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人员的满足情况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2</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人员的精神状态</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3</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严格按章办事情况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4</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办事效率</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5</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服务态度</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6</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紧急事件的处理情况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15</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7</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管理记录情况</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8</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员工的仪容仪表：穿着统一工作服，佩戴胸卡等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3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9</w:t>
                  </w:r>
                </w:p>
              </w:tc>
              <w:tc>
                <w:tcPr>
                  <w:tcW w:type="dxa" w:w="1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对有效投拆和需要整改事项的改进</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10</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096"/>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合计</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评分人员签名：</w:t>
                  </w:r>
                  <w:r>
                    <w:rPr>
                      <w:rFonts w:ascii="仿宋_GB2312" w:hAnsi="仿宋_GB2312" w:cs="仿宋_GB2312" w:eastAsia="仿宋_GB2312"/>
                      <w:sz w:val="19"/>
                    </w:rPr>
                    <w:t xml:space="preserve">                           </w:t>
                  </w:r>
                  <w:r>
                    <w:rPr>
                      <w:rFonts w:ascii="仿宋_GB2312" w:hAnsi="仿宋_GB2312" w:cs="仿宋_GB2312" w:eastAsia="仿宋_GB2312"/>
                      <w:sz w:val="19"/>
                    </w:rPr>
                    <w:t>时间：</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以采购合同详细要求为准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服务期为一年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西安市阳光中学</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1.质量验收标准：符合现行国家、行业”合格”标准并满足采购人要求。 2.质量验收规范: 1)《中华人民共和国民法典》; 2)《物业管理条例》; 3)其他法律、法规、规章及行业标准等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按月支付，月末结算付款，乙方需提前向甲方开具等额发票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1.因采购人违反合同规定，造成供应商未能完成合同规定的管理目标，供应商有权要求采购人在一定期限内解决，逾期未能解决造成供应商经济损失的，采购人应给予相应的经济赔偿。 2.供应商物业管理服务质量由采购人根据具体情况组织有关人员进行量化评分（具体见《物业管理服务量化考核评分表》）。如采购人的评分低于85分，采购人有权要求供应商在限期内进行整改，经整改仍不能达到85分，采购人有权在物业服务管理费中扣除相应费用。 3.物业公司应按照服务标准抓好质量管理，若出现较严重服务质量问题，每次每处扣罚物业费500元。 4.在物业管理服务期内，未经采购人同意，供应商自行提前中止、终止或解除采购合同，则供应商应赔偿由此给采购人所造成的全部经济损失。 5.对工作中了解到的采购人的技术、机密等进行严格保密，不得向他人泄漏。采购合同的解除或终止不免除投标人应承担的保密义务。</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3.4.1响应文件中要求加盖单位公章及法定代表人印章的地方可使用电子印章，要求签字的地方需经手签、扫描后加入响应文件内，并生成响应文件。 3.4.2磋商过程中无须提供纸质版，仅中标单位须提供纸质版。请中标单位在领取中标通知书前将纸质版响应文件正本1份、副本2份打印盖章后提交至采购代理公司处，以便采购人进行留存备案等工作，中标单位应保持响应文件纸质版内容与电子版内容完全一致，否则将承担一切法律责任。 3.4.3根据磋商文件相应条款对磋商文件所作的澄清、修改、答疑等构成磋商文件的组成部分。 3.4.4采购项目需要落实的政府采购政策：依据《中华人民共和国政府采购法》和《中华人民共和国政府采购法实施条例》的有关规定，落实政府采购政策。 ① 《政府采购促进中小企业发展管理办法》的通知-（财库〔2020〕46号）； ② 《财政部 司法部关于政府采购支持监狱企业发展有关问题的通知》-（财库〔2014〕68号）； ③ 《国务院办公厅关于建立政府强制采购节能产品制度的通知》-（国办发〔2007〕51号）； ④ 《财政部 发展改革委 生态环境部 市场监管总局关于调整优化节能产品、环境标志产品政府采购执行机制的通知》-（财库〔2019〕9号）； ⑤ 《关于印发环境标志产品政府采购品目清单的通知》-（财库〔2019〕18号）； ⑥ 《关于印发节能产品政府采购品目清单的通知》-（财库〔2019〕19号）； ⑦ 《三部门联合发布关于促进残疾人就业政府采购政策的通知》-（财库〔2017〕141号）； ⑧ 《关于运用政府采购政策支持乡村产业振兴的通知》-（财库〔2021〕19号）； ⑨ 《关于进一步加大政府采购支持中小企业力度的通知》（财库〔2022〕19号）； ⑩ 《陕西省财政厅关于印发&lt;陕西省中小企业政府采购信用融资办法&gt;的通知》-（陕财办采〔2018〕23号）； ⑪ 《陕西省财政厅关于加快推进我省中小企业政府采购信用融资工作的通知》-（陕财办采〔2020〕15号）； ⑫ 《陕西省财政厅关于进一步加强政府绿色采购有关问题的通知》-（陕财办采〔2021〕29号）； ⑬ 《陕西省财政厅、中国人民银行西安分行关于深入推进政府采购信用融资业务的通知》-（陕财办采〔2023〕5号）； ⑭ 其他需要落实的政府采购政策。 3.4.5本项目专门面向中小企业采购，供应商应为中型企业或小型、微型企业或监狱企业或残疾人福利性单位。供应商为中型、小型、微型企业的，提供《中小企业声明函》；供应商为监狱企业的，应提供监狱企业的证明文件；供应商为残疾人福利性单位的，应提供《残疾人福利性单位声明函》。3.4.6本项目所属行业：物业管理 3.4.7本招标文件未明确的其他事项，按照有关法律、法规或省市有关规定执行。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供应商需在项目电子化交易系统中按要求填写《投标函》完成承诺并进行电子签章。应具备《中华人民共和国政府采购法》第二十二条规定的条件： (1)有效的主体资格证明：供应商为具有独立承担民事责任能力的法人、其他组织或自然人，并出具合法有效的营业执照或事业单位法人证书等国家规定的相关证明，自然人参与的提供其身份证明。 (2)财务状况报告：供应商提供经审计的2024年度或2025年度的财务报告或提交投标文件截止时间前六个月内其基本账户开户银行出具的资信证明(附开户许可证或开户备案证明):其他组织和自然人提供银行出具的资信证明或财务报表 (3)税收缴纳证明：提供响应文件递交截止日前一年内已缴存的至少一个月的纳税证明或完税证明。依法免税的供应商应提供相关文件证明。 (4)社会保障资金缴纳证明：提供响应文件递交截止日前一年内已缴存的至少一个月的社会保障资金缴存单据或社保机构开具的社会保险参保缴费情况证明，依法不需要缴纳社会保障资金的单位应提供相关证明材料。 (5)书面声明：供应商提供本次采购活动前三年内在经营活动中没有重大违纪，以及未被列入失信 被执行人、重大税收违法案件当事人名单、政府采购严重违法失信行为记录名单的书面声明;本项目拒绝被列入失信被执行人、重大税收违法案件当事人名单、政府采购严重违法失信行为的供应商参与。(6)履行合同的承诺及说明：供应商提供具有履行合同所必须的设备和专业技术能力的承诺及说明。</w:t>
            </w:r>
          </w:p>
        </w:tc>
        <w:tc>
          <w:tcPr>
            <w:tcW w:type="dxa" w:w="1661"/>
          </w:tcPr>
          <w:p>
            <w:pPr>
              <w:pStyle w:val="null3"/>
            </w:pPr>
            <w:r>
              <w:rPr>
                <w:rFonts w:ascii="仿宋_GB2312" w:hAnsi="仿宋_GB2312" w:cs="仿宋_GB2312" w:eastAsia="仿宋_GB2312"/>
              </w:rPr>
              <w:t>供应商应提交的相关资格证明材料.docx 其他资料.docx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法定代表人（或负责人）身份证扫描件或法定代表人授权委托书</w:t>
            </w:r>
          </w:p>
        </w:tc>
        <w:tc>
          <w:tcPr>
            <w:tcW w:type="dxa" w:w="3322"/>
          </w:tcPr>
          <w:p>
            <w:pPr>
              <w:pStyle w:val="null3"/>
            </w:pPr>
            <w:r>
              <w:rPr>
                <w:rFonts w:ascii="仿宋_GB2312" w:hAnsi="仿宋_GB2312" w:cs="仿宋_GB2312" w:eastAsia="仿宋_GB2312"/>
              </w:rPr>
              <w:t>法定代表人（或负责人）直接参加投标的，提供法定代表人（或负责人）身份证扫描件；法定代表人（或负责人）授权代表参加投标的，须提供法定代表人（或负责人）授权委托书、法定代表人（或负责人）身份证扫描件及被授权人身份证扫描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应符合"磋商文件格式"要求。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服务措施1</w:t>
            </w:r>
          </w:p>
        </w:tc>
        <w:tc>
          <w:tcPr>
            <w:tcW w:type="dxa" w:w="2492"/>
          </w:tcPr>
          <w:p>
            <w:pPr>
              <w:pStyle w:val="null3"/>
            </w:pPr>
            <w:r>
              <w:rPr>
                <w:rFonts w:ascii="仿宋_GB2312" w:hAnsi="仿宋_GB2312" w:cs="仿宋_GB2312" w:eastAsia="仿宋_GB2312"/>
              </w:rPr>
              <w:t>详细具体、切实可行的服务工作计划，方案完整；计0-20分 合理、突出、详细得(13-20]分； 较合理得(5-13]分； 不详细，对响应本项目有潜在风险得(0-5]分； 无此项描述不得分。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服务措施2</w:t>
            </w:r>
          </w:p>
        </w:tc>
        <w:tc>
          <w:tcPr>
            <w:tcW w:type="dxa" w:w="2492"/>
          </w:tcPr>
          <w:p>
            <w:pPr>
              <w:pStyle w:val="null3"/>
            </w:pPr>
            <w:r>
              <w:rPr>
                <w:rFonts w:ascii="仿宋_GB2312" w:hAnsi="仿宋_GB2312" w:cs="仿宋_GB2312" w:eastAsia="仿宋_GB2312"/>
              </w:rPr>
              <w:t>保障服务质量制定的各项运营方案管理制度；计0-12分 合理、突出、详细得(8-12]分； 较合理得(4-8]分； 不详细，对响应本项目有潜在风险得(0-4]分； 无此项描述不得分。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突发事件的应急预案及保障措施；计0-10分。 合理、突出、详细得(7-10]分； 较合理得(3-7]分； 不详细，对响应本项目有潜在风险得(0-3]分；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供应商针对本项目投入的设备设施情况（包括服装、工具、物资装备等）；计0-10分 合理、突出、详细得(7-10]分； 较合理得(3-7]分； 不详细，对响应本项目有潜在风险得(0-3]分；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响应说明</w:t>
            </w:r>
          </w:p>
        </w:tc>
        <w:tc>
          <w:tcPr>
            <w:tcW w:type="dxa" w:w="2492"/>
          </w:tcPr>
          <w:p>
            <w:pPr>
              <w:pStyle w:val="null3"/>
            </w:pPr>
            <w:r>
              <w:rPr>
                <w:rFonts w:ascii="仿宋_GB2312" w:hAnsi="仿宋_GB2312" w:cs="仿宋_GB2312" w:eastAsia="仿宋_GB2312"/>
              </w:rPr>
              <w:t>响应文件对服务期限、付款方式、服务要求等主要条款进行响应，根据响应情况；计0—5分，无响应说明不得分。 合理、突出、详细得(4-5]分； 较合理得(2-4]分； 不详细，对响应本项目有潜在风险得(0-2]分； 无此项描述不得分。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供应商拟投入本项目服务人员的基本情况，服务人员培训方案及安保人员作业安全保障措施；计0-20分。 合理、突出、详细得(14-20]分； 较合理得(6-14]分； 不详细，对响应本项目有潜在风险得(0-6]分； 无此项描述不得分。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对工作响应及时，能高效、优质的完成各项工作，提供本项目的服务承诺书；计0-10分。 合理、突出、详细得(7-10]分； 较合理得(3-7]分； 不详细，对响应本项目有潜在风险得(0-3]分； 无此项描述不得分。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2021年4月至今类似项目业绩，每提供一个类似项目业绩加1分，累计不超过3分。（以提供的项目合同复印件作为评分依据）。</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服务内容及服务要求偏离表.docx</w:t>
            </w:r>
          </w:p>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1.满足磋商文件实质性要求且最终报价最低的供应商的价格为磋商基准价，其价格分为满分10分。 2.磋商报价得分=（磋商基准价/最终磋商报价）×10的公式计算得分。 3.磋商报价不完整的，不进入评标标准价的计算，本项得0分。 4.经评委一致认定，供应商的磋商最终总报价低于公认市场成本，或超过采购预算,其响应将被拒绝。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详见附件：服务内容及服务要求偏离表.docx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