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版本号：SCHS2026-00120260112001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雁塔区第六小学消防系统整改项目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SCHS2026-001</w:t>
      </w:r>
      <w:r>
        <w:br/>
      </w:r>
      <w:r>
        <w:br/>
      </w:r>
      <w:r>
        <w:br/>
      </w:r>
    </w:p>
    <w:p>
      <w:pPr>
        <w:pStyle w:val="null3"/>
        <w:jc w:val="center"/>
        <w:outlineLvl w:val="2"/>
      </w:pPr>
      <w:r>
        <w:rPr>
          <w:rFonts w:ascii="仿宋_GB2312" w:hAnsi="仿宋_GB2312" w:cs="仿宋_GB2312" w:eastAsia="仿宋_GB2312"/>
          <w:sz w:val="28"/>
          <w:b/>
        </w:rPr>
        <w:t>西安市雁塔区第六小学</w:t>
      </w:r>
    </w:p>
    <w:p>
      <w:pPr>
        <w:pStyle w:val="null3"/>
        <w:jc w:val="center"/>
        <w:outlineLvl w:val="2"/>
      </w:pPr>
      <w:r>
        <w:rPr>
          <w:rFonts w:ascii="仿宋_GB2312" w:hAnsi="仿宋_GB2312" w:cs="仿宋_GB2312" w:eastAsia="仿宋_GB2312"/>
          <w:sz w:val="28"/>
          <w:b/>
        </w:rPr>
        <w:t>陕西实创恒升工程咨询有限公司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陕西实创恒升工程咨询有限公司</w:t>
      </w:r>
      <w:r>
        <w:rPr>
          <w:rFonts w:ascii="仿宋_GB2312" w:hAnsi="仿宋_GB2312" w:cs="仿宋_GB2312" w:eastAsia="仿宋_GB2312"/>
        </w:rPr>
        <w:t>（以下简称“代理机构”）受</w:t>
      </w:r>
      <w:r>
        <w:rPr>
          <w:rFonts w:ascii="仿宋_GB2312" w:hAnsi="仿宋_GB2312" w:cs="仿宋_GB2312" w:eastAsia="仿宋_GB2312"/>
        </w:rPr>
        <w:t>西安市雁塔区第六小学</w:t>
      </w:r>
      <w:r>
        <w:rPr>
          <w:rFonts w:ascii="仿宋_GB2312" w:hAnsi="仿宋_GB2312" w:cs="仿宋_GB2312" w:eastAsia="仿宋_GB2312"/>
        </w:rPr>
        <w:t>委托，拟对</w:t>
      </w:r>
      <w:r>
        <w:rPr>
          <w:rFonts w:ascii="仿宋_GB2312" w:hAnsi="仿宋_GB2312" w:cs="仿宋_GB2312" w:eastAsia="仿宋_GB2312"/>
        </w:rPr>
        <w:t>雁塔区第六小学消防系统整改项目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SCHS2026-001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雁塔区第六小学消防系统整改项目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雁塔区第六小学消防系统整改项目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采购包1（西安市雁塔区第六小学消防系统整改项目）：属于专门面向中小企业采购。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2、基本资格条件承诺函：根据《西安市雁塔区财政局关于开展政府采购供应商基本资格条件承诺制试点工作的通知》（雁财函[2024]251号），投标人须提供基本资格条件承诺函。</w:t>
      </w:r>
    </w:p>
    <w:p>
      <w:pPr>
        <w:pStyle w:val="null3"/>
      </w:pPr>
      <w:r>
        <w:rPr>
          <w:rFonts w:ascii="仿宋_GB2312" w:hAnsi="仿宋_GB2312" w:cs="仿宋_GB2312" w:eastAsia="仿宋_GB2312"/>
        </w:rPr>
        <w:t>3、身份证明：法定代表人直接参加投标的，须提供法定代表人身份证明；法定代表人授权代表参加投标的，须提供法定代表人授权委托书。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4、资质证书：具有消防设施工程专业承包二级及以上资质证书（含二级），并具有合格有效的安全生产许可证。</w:t>
      </w:r>
    </w:p>
    <w:p>
      <w:pPr>
        <w:pStyle w:val="null3"/>
      </w:pPr>
      <w:r>
        <w:rPr>
          <w:rFonts w:ascii="仿宋_GB2312" w:hAnsi="仿宋_GB2312" w:cs="仿宋_GB2312" w:eastAsia="仿宋_GB2312"/>
        </w:rPr>
        <w:t>5、项目经理：供应商拟派项目经理具有机电工程专业二级以上注册建造师证书（含二级），具备有效的安全生产考核合格证书（建安B证），且无不良信用记录，无在建工程（提供承诺书）。</w:t>
      </w:r>
    </w:p>
    <w:p>
      <w:pPr>
        <w:pStyle w:val="null3"/>
      </w:pPr>
      <w:r>
        <w:rPr>
          <w:rFonts w:ascii="仿宋_GB2312" w:hAnsi="仿宋_GB2312" w:cs="仿宋_GB2312" w:eastAsia="仿宋_GB2312"/>
        </w:rPr>
        <w:t>6、非联合体声明：本项目不接受联合体投标。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西安市雁塔区第六小学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西安市雁塔区大寨路城中村改造项目内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苗主任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陕西实创恒升工程咨询有限公司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陕西省西安市雁塔区绿地智海大厦西门上11楼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杨晓云、徐彦犀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029-68729911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采购包1：371,000.00元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代理服务费收费标准：1、按《国家发展改革委关于进一步放开建设项目专业服务价格的通知》(发改价格[2015]299号)的有关规定执行。 2、成交单位在领取成交通知书前，须向采购代理机构一次性支付采购代理服务费。 名称: 陕西实创恒升工程咨询有限公司 开户行:中信银行西安西大街支行 行号：302791025162 账号: 8111701011200789135</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西安市雁塔区第六小学</w:t>
      </w:r>
      <w:r>
        <w:rPr>
          <w:rFonts w:ascii="仿宋_GB2312" w:hAnsi="仿宋_GB2312" w:cs="仿宋_GB2312" w:eastAsia="仿宋_GB2312"/>
        </w:rPr>
        <w:t>和</w:t>
      </w:r>
      <w:r>
        <w:rPr>
          <w:rFonts w:ascii="仿宋_GB2312" w:hAnsi="仿宋_GB2312" w:cs="仿宋_GB2312" w:eastAsia="仿宋_GB2312"/>
        </w:rPr>
        <w:t>陕西实创恒升工程咨询有限公司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西安市雁塔区第六小学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陕西实创恒升工程咨询有限公司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西安市雁塔区第六小学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陕西实创恒升工程咨询有限公司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陕西实创恒升工程咨询有限公司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陕西实创恒升工程咨询有限公司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陕西实创恒升工程咨询有限公司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联系人：杨晓云、徐彦犀</w:t>
      </w:r>
    </w:p>
    <w:p>
      <w:pPr>
        <w:pStyle w:val="null3"/>
      </w:pPr>
      <w:r>
        <w:rPr>
          <w:rFonts w:ascii="仿宋_GB2312" w:hAnsi="仿宋_GB2312" w:cs="仿宋_GB2312" w:eastAsia="仿宋_GB2312"/>
        </w:rPr>
        <w:t>联系电话：029-68729911</w:t>
      </w:r>
    </w:p>
    <w:p>
      <w:pPr>
        <w:pStyle w:val="null3"/>
      </w:pPr>
      <w:r>
        <w:rPr>
          <w:rFonts w:ascii="仿宋_GB2312" w:hAnsi="仿宋_GB2312" w:cs="仿宋_GB2312" w:eastAsia="仿宋_GB2312"/>
        </w:rPr>
        <w:t>地址：陕西省西安市雁塔区绿地智海大厦西门上11楼</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371,000.00</w:t>
      </w:r>
    </w:p>
    <w:p>
      <w:pPr>
        <w:pStyle w:val="null3"/>
      </w:pPr>
      <w:r>
        <w:rPr>
          <w:rFonts w:ascii="仿宋_GB2312" w:hAnsi="仿宋_GB2312" w:cs="仿宋_GB2312" w:eastAsia="仿宋_GB2312"/>
        </w:rPr>
        <w:t>采购包最高限价（元）: 370,954.73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西安市雁塔区第六小学消防系统整改项目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371,000.00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标的名称：西安市雁塔区第六小学消防系统整改项目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90"/>
              <w:ind w:left="615"/>
              <w:jc w:val="both"/>
            </w:pPr>
            <w:r>
              <w:rPr>
                <w:rFonts w:ascii="仿宋_GB2312" w:hAnsi="仿宋_GB2312" w:cs="仿宋_GB2312" w:eastAsia="仿宋_GB2312"/>
                <w:sz w:val="24"/>
                <w:b/>
              </w:rPr>
              <w:t>一、工程概况：</w:t>
            </w:r>
          </w:p>
          <w:p>
            <w:pPr>
              <w:pStyle w:val="null3"/>
              <w:spacing w:before="285"/>
              <w:ind w:firstLine="928"/>
              <w:jc w:val="both"/>
            </w:pPr>
            <w:r>
              <w:rPr>
                <w:rFonts w:ascii="仿宋_GB2312" w:hAnsi="仿宋_GB2312" w:cs="仿宋_GB2312" w:eastAsia="仿宋_GB2312"/>
                <w:sz w:val="24"/>
              </w:rPr>
              <w:t>项目名称为雁塔区第六小学消防系统整改工程，为了满足教育教学的基本安全需求，对现有</w:t>
            </w:r>
            <w:r>
              <w:rPr>
                <w:rFonts w:ascii="仿宋_GB2312" w:hAnsi="仿宋_GB2312" w:cs="仿宋_GB2312" w:eastAsia="仿宋_GB2312"/>
                <w:sz w:val="24"/>
              </w:rPr>
              <w:t>火灾报警主机及现场故障排查维修，并进行系统全面联动测试</w:t>
            </w:r>
            <w:r>
              <w:rPr>
                <w:rFonts w:ascii="仿宋_GB2312" w:hAnsi="仿宋_GB2312" w:cs="仿宋_GB2312" w:eastAsia="仿宋_GB2312"/>
                <w:sz w:val="24"/>
              </w:rPr>
              <w:t>、</w:t>
            </w:r>
            <w:r>
              <w:rPr>
                <w:rFonts w:ascii="仿宋_GB2312" w:hAnsi="仿宋_GB2312" w:cs="仿宋_GB2312" w:eastAsia="仿宋_GB2312"/>
                <w:sz w:val="24"/>
              </w:rPr>
              <w:t>消防水池、消防水箱液位系统维修</w:t>
            </w:r>
            <w:r>
              <w:rPr>
                <w:rFonts w:ascii="仿宋_GB2312" w:hAnsi="仿宋_GB2312" w:cs="仿宋_GB2312" w:eastAsia="仿宋_GB2312"/>
                <w:sz w:val="24"/>
              </w:rPr>
              <w:t>、</w:t>
            </w:r>
            <w:r>
              <w:rPr>
                <w:rFonts w:ascii="仿宋_GB2312" w:hAnsi="仿宋_GB2312" w:cs="仿宋_GB2312" w:eastAsia="仿宋_GB2312"/>
                <w:sz w:val="24"/>
              </w:rPr>
              <w:t>防火门</w:t>
            </w:r>
            <w:r>
              <w:rPr>
                <w:rFonts w:ascii="仿宋_GB2312" w:hAnsi="仿宋_GB2312" w:cs="仿宋_GB2312" w:eastAsia="仿宋_GB2312"/>
                <w:sz w:val="24"/>
              </w:rPr>
              <w:t>系统</w:t>
            </w:r>
            <w:r>
              <w:rPr>
                <w:rFonts w:ascii="仿宋_GB2312" w:hAnsi="仿宋_GB2312" w:cs="仿宋_GB2312" w:eastAsia="仿宋_GB2312"/>
                <w:sz w:val="24"/>
              </w:rPr>
              <w:t>维修及接线</w:t>
            </w:r>
            <w:r>
              <w:rPr>
                <w:rFonts w:ascii="仿宋_GB2312" w:hAnsi="仿宋_GB2312" w:cs="仿宋_GB2312" w:eastAsia="仿宋_GB2312"/>
                <w:sz w:val="24"/>
              </w:rPr>
              <w:t>、</w:t>
            </w:r>
            <w:r>
              <w:rPr>
                <w:rFonts w:ascii="仿宋_GB2312" w:hAnsi="仿宋_GB2312" w:cs="仿宋_GB2312" w:eastAsia="仿宋_GB2312"/>
                <w:sz w:val="24"/>
              </w:rPr>
              <w:t>电气火灾监控维修</w:t>
            </w:r>
            <w:r>
              <w:rPr>
                <w:rFonts w:ascii="仿宋_GB2312" w:hAnsi="仿宋_GB2312" w:cs="仿宋_GB2312" w:eastAsia="仿宋_GB2312"/>
                <w:sz w:val="24"/>
              </w:rPr>
              <w:t>、</w:t>
            </w:r>
            <w:r>
              <w:rPr>
                <w:rFonts w:ascii="仿宋_GB2312" w:hAnsi="仿宋_GB2312" w:cs="仿宋_GB2312" w:eastAsia="仿宋_GB2312"/>
                <w:sz w:val="24"/>
              </w:rPr>
              <w:t>自喷系统冲水及联动测试</w:t>
            </w:r>
            <w:r>
              <w:rPr>
                <w:rFonts w:ascii="仿宋_GB2312" w:hAnsi="仿宋_GB2312" w:cs="仿宋_GB2312" w:eastAsia="仿宋_GB2312"/>
                <w:sz w:val="24"/>
              </w:rPr>
              <w:t>、</w:t>
            </w:r>
            <w:r>
              <w:rPr>
                <w:rFonts w:ascii="仿宋_GB2312" w:hAnsi="仿宋_GB2312" w:cs="仿宋_GB2312" w:eastAsia="仿宋_GB2312"/>
                <w:sz w:val="24"/>
              </w:rPr>
              <w:t>发电机房增加挡油坎及喷淋</w:t>
            </w:r>
            <w:r>
              <w:rPr>
                <w:rFonts w:ascii="仿宋_GB2312" w:hAnsi="仿宋_GB2312" w:cs="仿宋_GB2312" w:eastAsia="仿宋_GB2312"/>
                <w:sz w:val="24"/>
              </w:rPr>
              <w:t>、</w:t>
            </w:r>
            <w:r>
              <w:rPr>
                <w:rFonts w:ascii="仿宋_GB2312" w:hAnsi="仿宋_GB2312" w:cs="仿宋_GB2312" w:eastAsia="仿宋_GB2312"/>
                <w:sz w:val="24"/>
              </w:rPr>
              <w:t>末端试水装置增加排水设施及测试阀</w:t>
            </w:r>
            <w:r>
              <w:rPr>
                <w:rFonts w:ascii="仿宋_GB2312" w:hAnsi="仿宋_GB2312" w:cs="仿宋_GB2312" w:eastAsia="仿宋_GB2312"/>
                <w:sz w:val="24"/>
              </w:rPr>
              <w:t>、</w:t>
            </w:r>
            <w:r>
              <w:rPr>
                <w:rFonts w:ascii="仿宋_GB2312" w:hAnsi="仿宋_GB2312" w:cs="仿宋_GB2312" w:eastAsia="仿宋_GB2312"/>
                <w:sz w:val="24"/>
              </w:rPr>
              <w:t>气体灭火保护区增加电动防火阀</w:t>
            </w:r>
            <w:r>
              <w:rPr>
                <w:rFonts w:ascii="仿宋_GB2312" w:hAnsi="仿宋_GB2312" w:cs="仿宋_GB2312" w:eastAsia="仿宋_GB2312"/>
                <w:sz w:val="24"/>
              </w:rPr>
              <w:t>、</w:t>
            </w:r>
            <w:r>
              <w:rPr>
                <w:rFonts w:ascii="仿宋_GB2312" w:hAnsi="仿宋_GB2312" w:cs="仿宋_GB2312" w:eastAsia="仿宋_GB2312"/>
                <w:sz w:val="24"/>
              </w:rPr>
              <w:t>车库排烟管道维修整改</w:t>
            </w:r>
            <w:r>
              <w:rPr>
                <w:rFonts w:ascii="仿宋_GB2312" w:hAnsi="仿宋_GB2312" w:cs="仿宋_GB2312" w:eastAsia="仿宋_GB2312"/>
                <w:sz w:val="24"/>
              </w:rPr>
              <w:t>、</w:t>
            </w:r>
            <w:r>
              <w:rPr>
                <w:rFonts w:ascii="仿宋_GB2312" w:hAnsi="仿宋_GB2312" w:cs="仿宋_GB2312" w:eastAsia="仿宋_GB2312"/>
                <w:sz w:val="24"/>
              </w:rPr>
              <w:t>发电机房储油间风管封堵</w:t>
            </w:r>
            <w:r>
              <w:rPr>
                <w:rFonts w:ascii="仿宋_GB2312" w:hAnsi="仿宋_GB2312" w:cs="仿宋_GB2312" w:eastAsia="仿宋_GB2312"/>
                <w:sz w:val="24"/>
              </w:rPr>
              <w:t>、</w:t>
            </w:r>
            <w:r>
              <w:rPr>
                <w:rFonts w:ascii="仿宋_GB2312" w:hAnsi="仿宋_GB2312" w:cs="仿宋_GB2312" w:eastAsia="仿宋_GB2312"/>
                <w:sz w:val="24"/>
              </w:rPr>
              <w:t>应急照明及疏散系统维修</w:t>
            </w:r>
            <w:r>
              <w:rPr>
                <w:rFonts w:ascii="仿宋_GB2312" w:hAnsi="仿宋_GB2312" w:cs="仿宋_GB2312" w:eastAsia="仿宋_GB2312"/>
                <w:sz w:val="24"/>
              </w:rPr>
              <w:t>、</w:t>
            </w:r>
            <w:r>
              <w:rPr>
                <w:rFonts w:ascii="仿宋_GB2312" w:hAnsi="仿宋_GB2312" w:cs="仿宋_GB2312" w:eastAsia="仿宋_GB2312"/>
                <w:sz w:val="24"/>
              </w:rPr>
              <w:t>会议厅防排烟系统</w:t>
            </w:r>
            <w:r>
              <w:rPr>
                <w:rFonts w:ascii="仿宋_GB2312" w:hAnsi="仿宋_GB2312" w:cs="仿宋_GB2312" w:eastAsia="仿宋_GB2312"/>
                <w:sz w:val="24"/>
              </w:rPr>
              <w:t>、</w:t>
            </w:r>
            <w:r>
              <w:rPr>
                <w:rFonts w:ascii="仿宋_GB2312" w:hAnsi="仿宋_GB2312" w:cs="仿宋_GB2312" w:eastAsia="仿宋_GB2312"/>
                <w:sz w:val="24"/>
              </w:rPr>
              <w:t>消防管道测试维修整改</w:t>
            </w:r>
            <w:r>
              <w:rPr>
                <w:rFonts w:ascii="仿宋_GB2312" w:hAnsi="仿宋_GB2312" w:cs="仿宋_GB2312" w:eastAsia="仿宋_GB2312"/>
                <w:sz w:val="24"/>
              </w:rPr>
              <w:t>等设备存在故障风险；对照《建筑设计防火规范》（</w:t>
            </w:r>
            <w:r>
              <w:rPr>
                <w:rFonts w:ascii="仿宋_GB2312" w:hAnsi="仿宋_GB2312" w:cs="仿宋_GB2312" w:eastAsia="仿宋_GB2312"/>
                <w:sz w:val="24"/>
              </w:rPr>
              <w:t>GB 50016）、《中小学设计规范》（GB 50099）等现行国家标准进行整改维修。</w:t>
            </w:r>
          </w:p>
          <w:p>
            <w:pPr>
              <w:pStyle w:val="null3"/>
              <w:spacing w:before="150"/>
              <w:ind w:left="615"/>
              <w:jc w:val="both"/>
            </w:pPr>
            <w:r>
              <w:rPr>
                <w:rFonts w:ascii="仿宋_GB2312" w:hAnsi="仿宋_GB2312" w:cs="仿宋_GB2312" w:eastAsia="仿宋_GB2312"/>
                <w:sz w:val="24"/>
                <w:b/>
              </w:rPr>
              <w:t>二、编制依据</w:t>
            </w:r>
          </w:p>
          <w:p>
            <w:pPr>
              <w:pStyle w:val="null3"/>
              <w:spacing w:before="285"/>
              <w:ind w:firstLine="419"/>
              <w:jc w:val="both"/>
            </w:pPr>
            <w:r>
              <w:rPr>
                <w:rFonts w:ascii="仿宋_GB2312" w:hAnsi="仿宋_GB2312" w:cs="仿宋_GB2312" w:eastAsia="仿宋_GB2312"/>
                <w:sz w:val="24"/>
              </w:rPr>
              <w:t>1、陕西省工程建设标准《建设工程工程量清单计价标准》 DB61/T5126-2025；</w:t>
            </w:r>
          </w:p>
          <w:p>
            <w:pPr>
              <w:pStyle w:val="null3"/>
              <w:spacing w:before="285"/>
              <w:ind w:firstLine="419"/>
              <w:jc w:val="both"/>
            </w:pPr>
            <w:r>
              <w:rPr>
                <w:rFonts w:ascii="仿宋_GB2312" w:hAnsi="仿宋_GB2312" w:cs="仿宋_GB2312" w:eastAsia="仿宋_GB2312"/>
                <w:sz w:val="24"/>
              </w:rPr>
              <w:t>2、《陕西省建设</w:t>
            </w:r>
            <w:r>
              <w:rPr>
                <w:rFonts w:ascii="仿宋_GB2312" w:hAnsi="仿宋_GB2312" w:cs="仿宋_GB2312" w:eastAsia="仿宋_GB2312"/>
                <w:sz w:val="24"/>
              </w:rPr>
              <w:t>工程费用规则》（</w:t>
            </w:r>
            <w:r>
              <w:rPr>
                <w:rFonts w:ascii="仿宋_GB2312" w:hAnsi="仿宋_GB2312" w:cs="仿宋_GB2312" w:eastAsia="仿宋_GB2312"/>
                <w:sz w:val="24"/>
              </w:rPr>
              <w:t>2025</w:t>
            </w:r>
            <w:r>
              <w:rPr>
                <w:rFonts w:ascii="仿宋_GB2312" w:hAnsi="仿宋_GB2312" w:cs="仿宋_GB2312" w:eastAsia="仿宋_GB2312"/>
                <w:sz w:val="24"/>
              </w:rPr>
              <w:t>）；</w:t>
            </w:r>
          </w:p>
          <w:p>
            <w:pPr>
              <w:pStyle w:val="null3"/>
              <w:spacing w:before="285"/>
              <w:ind w:firstLine="419"/>
              <w:jc w:val="both"/>
            </w:pPr>
            <w:r>
              <w:rPr>
                <w:rFonts w:ascii="仿宋_GB2312" w:hAnsi="仿宋_GB2312" w:cs="仿宋_GB2312" w:eastAsia="仿宋_GB2312"/>
                <w:sz w:val="24"/>
              </w:rPr>
              <w:t>3、工程量清单编制依据《陕西省建设工程工程量清单计价规则》（2025）及其配套文件中工程量计算办法，《陕西省房屋建筑与装饰 工程消耗量定额》（2025），《陕西省通用安装工程消耗量定额》（2025），《陕西省园林绿化工程基价表》（2025），《陕西省建设工程施工机 械台班费用定额》（2025），《陕西省建设工程施工仪器仪表台班费 用定额》（2025），与定额相配套使用的《陕西省房屋建筑与装饰工 程基价表》（2025），《陕西省通用安装工程基价表》（2025），《陕 西省建设工程费用规则》（2025）及其他相关的计价依据和办法；</w:t>
            </w:r>
          </w:p>
          <w:p>
            <w:pPr>
              <w:pStyle w:val="null3"/>
              <w:spacing w:before="285"/>
              <w:ind w:firstLine="419"/>
              <w:jc w:val="both"/>
            </w:pPr>
            <w:r>
              <w:rPr>
                <w:rFonts w:ascii="仿宋_GB2312" w:hAnsi="仿宋_GB2312" w:cs="仿宋_GB2312" w:eastAsia="仿宋_GB2312"/>
                <w:sz w:val="24"/>
              </w:rPr>
              <w:t>4、招标文件、拟定的合同条款及相关条款；</w:t>
            </w:r>
          </w:p>
          <w:p>
            <w:pPr>
              <w:pStyle w:val="null3"/>
              <w:spacing w:before="285"/>
              <w:ind w:firstLine="419"/>
              <w:jc w:val="both"/>
            </w:pPr>
            <w:r>
              <w:rPr>
                <w:rFonts w:ascii="仿宋_GB2312" w:hAnsi="仿宋_GB2312" w:cs="仿宋_GB2312" w:eastAsia="仿宋_GB2312"/>
                <w:sz w:val="24"/>
              </w:rPr>
              <w:t>5、建设工程设计文件及相关资料；</w:t>
            </w:r>
          </w:p>
          <w:p>
            <w:pPr>
              <w:pStyle w:val="null3"/>
              <w:spacing w:before="285"/>
              <w:ind w:firstLine="419"/>
              <w:jc w:val="both"/>
            </w:pPr>
            <w:r>
              <w:rPr>
                <w:rFonts w:ascii="仿宋_GB2312" w:hAnsi="仿宋_GB2312" w:cs="仿宋_GB2312" w:eastAsia="仿宋_GB2312"/>
                <w:sz w:val="24"/>
              </w:rPr>
              <w:t>6、与建设项目相关的标准、规范、技术资料、施工组织设计；</w:t>
            </w:r>
          </w:p>
          <w:p>
            <w:pPr>
              <w:pStyle w:val="null3"/>
              <w:spacing w:before="285"/>
              <w:ind w:firstLine="419"/>
              <w:jc w:val="both"/>
            </w:pPr>
            <w:r>
              <w:rPr>
                <w:rFonts w:ascii="仿宋_GB2312" w:hAnsi="仿宋_GB2312" w:cs="仿宋_GB2312" w:eastAsia="仿宋_GB2312"/>
                <w:sz w:val="24"/>
              </w:rPr>
              <w:t>7、正常施工工期和施工条件，考虑企业常规的施工工艺、合理 的施工组织设计进行编制；</w:t>
            </w:r>
          </w:p>
          <w:p>
            <w:pPr>
              <w:pStyle w:val="null3"/>
              <w:spacing w:before="285"/>
              <w:ind w:firstLine="419"/>
              <w:jc w:val="both"/>
            </w:pPr>
            <w:r>
              <w:rPr>
                <w:rFonts w:ascii="仿宋_GB2312" w:hAnsi="仿宋_GB2312" w:cs="仿宋_GB2312" w:eastAsia="仿宋_GB2312"/>
                <w:sz w:val="24"/>
              </w:rPr>
              <w:t>8、增值税税率按 9%计。</w:t>
            </w:r>
          </w:p>
          <w:p>
            <w:pPr>
              <w:pStyle w:val="null3"/>
              <w:spacing w:before="285"/>
              <w:ind w:firstLine="419"/>
              <w:jc w:val="both"/>
            </w:pPr>
            <w:r>
              <w:rPr>
                <w:rFonts w:ascii="仿宋_GB2312" w:hAnsi="仿宋_GB2312" w:cs="仿宋_GB2312" w:eastAsia="仿宋_GB2312"/>
                <w:sz w:val="24"/>
              </w:rPr>
              <w:t>三、其他说明。</w:t>
            </w:r>
          </w:p>
          <w:p>
            <w:pPr>
              <w:pStyle w:val="null3"/>
              <w:spacing w:before="285"/>
              <w:ind w:firstLine="419"/>
              <w:jc w:val="both"/>
            </w:pPr>
            <w:r>
              <w:rPr>
                <w:rFonts w:ascii="仿宋_GB2312" w:hAnsi="仿宋_GB2312" w:cs="仿宋_GB2312" w:eastAsia="仿宋_GB2312"/>
                <w:sz w:val="24"/>
              </w:rPr>
              <w:t>1.采用广联达计价软件GCCP7.0(7.5000.23.2版本)。</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达到国家现行行业施工验收规范“合格”标准。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1、工期：30天 ； 2、付款方式：工程验收合格且出具正式项目竣工结算审计报告后，一次性支付审定造价的97%，留审定造价3%作为质保金，质保期满后无质量问题一次性无息退还(以此条为准）； 3、质保期：2年。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上传相应的证明材料。</w:t>
            </w:r>
          </w:p>
        </w:tc>
        <w:tc>
          <w:tcPr>
            <w:tcW w:type="dxa" w:w="1661"/>
          </w:tcPr>
          <w:p>
            <w:pPr>
              <w:pStyle w:val="null3"/>
            </w:pPr>
            <w:r>
              <w:rPr>
                <w:rFonts w:ascii="仿宋_GB2312" w:hAnsi="仿宋_GB2312" w:cs="仿宋_GB2312" w:eastAsia="仿宋_GB2312"/>
              </w:rPr>
              <w:t>基本资格条件承诺函.docx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根据《西安市雁塔区财政局关于开展政府采购供应商基本资格条件承诺制试点工作的通知》（雁财函[2024]251号），投标人须提供基本资格条件承诺函。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上传相应的证明材料。</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根据《西安市雁塔区财政局关于开展政府采购供应商基本资格条件承诺制试点工作的通知》（雁财函[2024]251号），投标人须提供基本资格条件承诺函。</w:t>
            </w:r>
          </w:p>
        </w:tc>
        <w:tc>
          <w:tcPr>
            <w:tcW w:type="dxa" w:w="1661"/>
          </w:tcPr>
          <w:p>
            <w:pPr>
              <w:pStyle w:val="null3"/>
            </w:pPr>
            <w:r>
              <w:rPr>
                <w:rFonts w:ascii="仿宋_GB2312" w:hAnsi="仿宋_GB2312" w:cs="仿宋_GB2312" w:eastAsia="仿宋_GB2312"/>
              </w:rPr>
              <w:t>基本资格条件承诺函.docx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具有消防设施工程专业承包二级及以上资质证书（含二级），并具有合格有效的安全生产许可证。</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供应商拟派项目经理具有机电工程专业二级以上注册建造师证书（含二级），具备有效的安全生产考核合格证书（建安B证），且无不良信用记录，无在建工程（提供承诺书）。</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应符合磋商文件的格式要求。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文件格式</w:t>
            </w:r>
          </w:p>
        </w:tc>
        <w:tc>
          <w:tcPr>
            <w:tcW w:type="dxa" w:w="3322"/>
          </w:tcPr>
          <w:p>
            <w:pPr>
              <w:pStyle w:val="null3"/>
            </w:pPr>
            <w:r>
              <w:rPr>
                <w:rFonts w:ascii="仿宋_GB2312" w:hAnsi="仿宋_GB2312" w:cs="仿宋_GB2312" w:eastAsia="仿宋_GB2312"/>
              </w:rPr>
              <w:t>应符合磋商文件的格式要求，可以扩充。</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第一次磋商报价</w:t>
            </w:r>
          </w:p>
        </w:tc>
        <w:tc>
          <w:tcPr>
            <w:tcW w:type="dxa" w:w="3322"/>
          </w:tcPr>
          <w:p>
            <w:pPr>
              <w:pStyle w:val="null3"/>
            </w:pPr>
            <w:r>
              <w:rPr>
                <w:rFonts w:ascii="仿宋_GB2312" w:hAnsi="仿宋_GB2312" w:cs="仿宋_GB2312" w:eastAsia="仿宋_GB2312"/>
              </w:rPr>
              <w:t>第一次磋商报价不超过最高限价。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已标价清单</w:t>
            </w:r>
          </w:p>
        </w:tc>
        <w:tc>
          <w:tcPr>
            <w:tcW w:type="dxa" w:w="3322"/>
          </w:tcPr>
          <w:p>
            <w:pPr>
              <w:pStyle w:val="null3"/>
            </w:pPr>
            <w:r>
              <w:rPr>
                <w:rFonts w:ascii="仿宋_GB2312" w:hAnsi="仿宋_GB2312" w:cs="仿宋_GB2312" w:eastAsia="仿宋_GB2312"/>
              </w:rPr>
              <w:t>应符合磋商文件给出的工程量清单范围和数量。</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施工方案及技术措施</w:t>
            </w:r>
          </w:p>
        </w:tc>
        <w:tc>
          <w:tcPr>
            <w:tcW w:type="dxa" w:w="2492"/>
          </w:tcPr>
          <w:p>
            <w:pPr>
              <w:pStyle w:val="null3"/>
            </w:pPr>
            <w:r>
              <w:rPr>
                <w:rFonts w:ascii="仿宋_GB2312" w:hAnsi="仿宋_GB2312" w:cs="仿宋_GB2312" w:eastAsia="仿宋_GB2312"/>
              </w:rPr>
              <w:t>方案合理、技术措施得当计7分；方案基本合理、技术措施一般计4分；合理性较差技术措施不得当得1分；未提供不得分。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质量管理体系完善，技术组织措施合理、可行计6分；质量管理体系较完善、技术组织措施一般，不够明确计4分；质量管理体系较为可行、针对性不强、内容简单计2分；未提供不得分。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安全管理体系健全，保证措施合理、可行计6分；安全管理体系较健全，保障措施一般计4分；安全管理体系较为可行、针对性不强、内容简单计2分；未提供不得分。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文明施工、环境保护措施、施工现场扬尘污染防治措施</w:t>
            </w:r>
          </w:p>
        </w:tc>
        <w:tc>
          <w:tcPr>
            <w:tcW w:type="dxa" w:w="2492"/>
          </w:tcPr>
          <w:p>
            <w:pPr>
              <w:pStyle w:val="null3"/>
            </w:pPr>
            <w:r>
              <w:rPr>
                <w:rFonts w:ascii="仿宋_GB2312" w:hAnsi="仿宋_GB2312" w:cs="仿宋_GB2312" w:eastAsia="仿宋_GB2312"/>
              </w:rPr>
              <w:t>各项措施合理、保障有力计6分；各项措施较健全，针对性一般计4分；各项措施较为可行、针对性不强、内容简单计2分；未提供不得分。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施工进度计划及保证措施</w:t>
            </w:r>
          </w:p>
        </w:tc>
        <w:tc>
          <w:tcPr>
            <w:tcW w:type="dxa" w:w="2492"/>
          </w:tcPr>
          <w:p>
            <w:pPr>
              <w:pStyle w:val="null3"/>
            </w:pPr>
            <w:r>
              <w:rPr>
                <w:rFonts w:ascii="仿宋_GB2312" w:hAnsi="仿宋_GB2312" w:cs="仿宋_GB2312" w:eastAsia="仿宋_GB2312"/>
              </w:rPr>
              <w:t>具有明确的施工进度表，进度计划合理、保证措施有力计6分；施工进度计划较清晰、措施一般计4分；施工进度计划不清晰、措施简单计2分；未提供不得分。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施工现场机械配备和材料投入计划合理，符合施工实际需求计6分；施工机械配备和材料投入计划一般，基本符合施工实际需求的计4分；机械、设备安排简单计2分；未提供不得分。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项目组织管理机构人员配置齐全（项目经理、技术负责人、施工人员等），各专业配备合理、分工及岗位职责清晰计6分；人员配置充足，分工基本明确，职责不够清晰计4分；人员数量较少，经验不足，证明材料不够详尽计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项目实施过程中周边关系协调方案和保证措施合理</w:t>
            </w:r>
          </w:p>
        </w:tc>
        <w:tc>
          <w:tcPr>
            <w:tcW w:type="dxa" w:w="2492"/>
          </w:tcPr>
          <w:p>
            <w:pPr>
              <w:pStyle w:val="null3"/>
            </w:pPr>
            <w:r>
              <w:rPr>
                <w:rFonts w:ascii="仿宋_GB2312" w:hAnsi="仿宋_GB2312" w:cs="仿宋_GB2312" w:eastAsia="仿宋_GB2312"/>
              </w:rPr>
              <w:t>项目实施过程中周边关系协调方案和保证措施合理，可行性高计6分；方案一般、措施不完备计4分；可行性、合理性较差得2分；未提供不得分。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降低工程造价、缩短施工周期的合理化建议</w:t>
            </w:r>
          </w:p>
        </w:tc>
        <w:tc>
          <w:tcPr>
            <w:tcW w:type="dxa" w:w="2492"/>
          </w:tcPr>
          <w:p>
            <w:pPr>
              <w:pStyle w:val="null3"/>
            </w:pPr>
            <w:r>
              <w:rPr>
                <w:rFonts w:ascii="仿宋_GB2312" w:hAnsi="仿宋_GB2312" w:cs="仿宋_GB2312" w:eastAsia="仿宋_GB2312"/>
              </w:rPr>
              <w:t>各项建议合理、可行，方法得当计6分；合理化建议可行性一般、方法较少计4分；可行性、合理性较差得2分；未提供不得分。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突发事件的应急措施和解决方案</w:t>
            </w:r>
          </w:p>
        </w:tc>
        <w:tc>
          <w:tcPr>
            <w:tcW w:type="dxa" w:w="2492"/>
          </w:tcPr>
          <w:p>
            <w:pPr>
              <w:pStyle w:val="null3"/>
            </w:pPr>
            <w:r>
              <w:rPr>
                <w:rFonts w:ascii="仿宋_GB2312" w:hAnsi="仿宋_GB2312" w:cs="仿宋_GB2312" w:eastAsia="仿宋_GB2312"/>
              </w:rPr>
              <w:t>突发事件的应急措施和解决方案，详细合理计5分；较详细得3分；较差得1分；未提供不得分。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提供供应商2023年1月至磋商截止日期前类似项目业绩，每提供1个得2分，满分10分(以合同协议书或中标（成交）通知书内容为准）。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经资格审查、符合性审查合格的磋商响应文件，其磋商报价为有效磋商报价，满足磋商文件要求且磋商价格最低的投标报价为评标基准价，其价格分为满分。 价格分按照下列公式计算。 磋商报价得分=（评标基准价/磋商报价）×价格分值。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