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7E49D">
      <w:pPr>
        <w:pageBreakBefore w:val="0"/>
        <w:bidi w:val="0"/>
        <w:spacing w:line="360" w:lineRule="auto"/>
        <w:jc w:val="center"/>
        <w:rPr>
          <w:rFonts w:hint="eastAsia" w:ascii="仿宋" w:hAnsi="仿宋" w:eastAsia="仿宋" w:cs="仿宋"/>
          <w:b/>
          <w:bCs/>
          <w:kern w:val="0"/>
          <w:sz w:val="36"/>
          <w:szCs w:val="36"/>
          <w:highlight w:val="none"/>
          <w:lang w:val="en-US" w:eastAsia="zh-CN"/>
        </w:rPr>
      </w:pPr>
      <w:bookmarkStart w:id="0" w:name="_Toc20105"/>
    </w:p>
    <w:p w14:paraId="5331765A">
      <w:pPr>
        <w:pageBreakBefore w:val="0"/>
        <w:bidi w:val="0"/>
        <w:spacing w:line="360" w:lineRule="auto"/>
        <w:jc w:val="center"/>
        <w:rPr>
          <w:rFonts w:hint="eastAsia" w:ascii="仿宋" w:hAnsi="仿宋" w:eastAsia="仿宋" w:cs="仿宋"/>
          <w:b/>
          <w:bCs/>
          <w:kern w:val="0"/>
          <w:sz w:val="36"/>
          <w:szCs w:val="36"/>
          <w:highlight w:val="none"/>
          <w:lang w:val="en-US" w:eastAsia="zh-CN"/>
        </w:rPr>
      </w:pPr>
    </w:p>
    <w:p w14:paraId="5DEFFBCB">
      <w:pPr>
        <w:pageBreakBefore w:val="0"/>
        <w:bidi w:val="0"/>
        <w:spacing w:line="360" w:lineRule="auto"/>
        <w:jc w:val="center"/>
        <w:rPr>
          <w:rFonts w:hint="eastAsia" w:ascii="仿宋" w:hAnsi="仿宋" w:eastAsia="仿宋" w:cs="仿宋"/>
          <w:b/>
          <w:bCs/>
          <w:kern w:val="0"/>
          <w:sz w:val="36"/>
          <w:szCs w:val="36"/>
          <w:highlight w:val="none"/>
          <w:lang w:val="en-US" w:eastAsia="zh-CN"/>
        </w:rPr>
      </w:pPr>
    </w:p>
    <w:p w14:paraId="709710E4">
      <w:pPr>
        <w:pageBreakBefore w:val="0"/>
        <w:bidi w:val="0"/>
        <w:spacing w:line="360" w:lineRule="auto"/>
        <w:jc w:val="center"/>
        <w:rPr>
          <w:rFonts w:hint="eastAsia" w:ascii="仿宋" w:hAnsi="仿宋" w:eastAsia="仿宋" w:cs="仿宋"/>
          <w:b/>
          <w:bCs/>
          <w:kern w:val="0"/>
          <w:sz w:val="36"/>
          <w:szCs w:val="36"/>
          <w:highlight w:val="none"/>
          <w:lang w:val="en-US" w:eastAsia="zh-CN"/>
        </w:rPr>
      </w:pPr>
    </w:p>
    <w:p w14:paraId="51841EB1">
      <w:pPr>
        <w:pageBreakBefore w:val="0"/>
        <w:bidi w:val="0"/>
        <w:spacing w:line="360" w:lineRule="auto"/>
        <w:jc w:val="center"/>
        <w:rPr>
          <w:rFonts w:hint="eastAsia" w:ascii="仿宋" w:hAnsi="仿宋" w:eastAsia="仿宋" w:cs="仿宋"/>
          <w:b/>
          <w:bCs/>
          <w:kern w:val="0"/>
          <w:sz w:val="36"/>
          <w:szCs w:val="36"/>
          <w:highlight w:val="none"/>
          <w:lang w:val="en-US" w:eastAsia="zh-CN"/>
        </w:rPr>
      </w:pPr>
    </w:p>
    <w:p w14:paraId="0F7FD19E">
      <w:pPr>
        <w:pageBreakBefore w:val="0"/>
        <w:bidi w:val="0"/>
        <w:spacing w:line="360" w:lineRule="auto"/>
        <w:jc w:val="center"/>
        <w:rPr>
          <w:rFonts w:hint="eastAsia" w:ascii="仿宋" w:hAnsi="仿宋" w:eastAsia="仿宋" w:cs="仿宋"/>
          <w:b/>
          <w:bCs/>
          <w:kern w:val="0"/>
          <w:sz w:val="36"/>
          <w:szCs w:val="36"/>
          <w:highlight w:val="none"/>
          <w:lang w:val="en-US" w:eastAsia="zh-CN"/>
        </w:rPr>
      </w:pPr>
    </w:p>
    <w:p w14:paraId="027414B6">
      <w:pPr>
        <w:pageBreakBefore w:val="0"/>
        <w:bidi w:val="0"/>
        <w:spacing w:line="360" w:lineRule="auto"/>
        <w:jc w:val="center"/>
        <w:rPr>
          <w:rFonts w:hint="eastAsia" w:ascii="仿宋" w:hAnsi="仿宋" w:eastAsia="仿宋" w:cs="仿宋"/>
          <w:b/>
          <w:bCs/>
          <w:sz w:val="36"/>
          <w:szCs w:val="36"/>
          <w:highlight w:val="none"/>
          <w:lang w:eastAsia="zh-CN"/>
        </w:rPr>
      </w:pPr>
      <w:bookmarkStart w:id="12" w:name="_GoBack"/>
      <w:bookmarkEnd w:id="12"/>
      <w:r>
        <w:rPr>
          <w:rFonts w:hint="eastAsia" w:ascii="仿宋" w:hAnsi="仿宋" w:eastAsia="仿宋" w:cs="仿宋"/>
          <w:b/>
          <w:bCs/>
          <w:kern w:val="0"/>
          <w:sz w:val="36"/>
          <w:szCs w:val="36"/>
          <w:highlight w:val="none"/>
          <w:lang w:val="en-US" w:eastAsia="zh-CN"/>
        </w:rPr>
        <w:t>协助管理服务项目</w:t>
      </w:r>
      <w:r>
        <w:rPr>
          <w:rFonts w:hint="eastAsia" w:ascii="仿宋" w:hAnsi="仿宋" w:eastAsia="仿宋" w:cs="仿宋"/>
          <w:b/>
          <w:bCs/>
          <w:sz w:val="36"/>
          <w:szCs w:val="36"/>
          <w:highlight w:val="none"/>
        </w:rPr>
        <w:t>合同</w:t>
      </w:r>
      <w:bookmarkEnd w:id="0"/>
    </w:p>
    <w:p w14:paraId="537D8BBF">
      <w:pPr>
        <w:pageBreakBefore w:val="0"/>
        <w:bidi w:val="0"/>
        <w:spacing w:line="360" w:lineRule="auto"/>
        <w:jc w:val="center"/>
        <w:rPr>
          <w:rFonts w:hint="eastAsia" w:ascii="仿宋" w:hAnsi="仿宋" w:eastAsia="仿宋" w:cs="仿宋"/>
          <w:b/>
          <w:bCs/>
          <w:sz w:val="30"/>
          <w:szCs w:val="30"/>
          <w:highlight w:val="none"/>
        </w:rPr>
      </w:pPr>
    </w:p>
    <w:p w14:paraId="6BB98405">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1DE5D50C">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580A0730">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63F1FF5F">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5DC70F57">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1E781B1">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78FCC191">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0A54F68A">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97F7432">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8583BA7">
      <w:pPr>
        <w:keepLines w:val="0"/>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1FFAC36">
      <w:pPr>
        <w:keepLines w:val="0"/>
        <w:pageBreakBefore w:val="0"/>
        <w:overflowPunct/>
        <w:bidi w:val="0"/>
        <w:spacing w:line="360" w:lineRule="auto"/>
        <w:ind w:firstLine="402" w:firstLineChars="200"/>
        <w:rPr>
          <w:rFonts w:hint="eastAsia" w:ascii="仿宋" w:hAnsi="仿宋" w:eastAsia="仿宋" w:cs="仿宋"/>
          <w:b/>
          <w:color w:val="000000"/>
          <w:sz w:val="20"/>
          <w:szCs w:val="20"/>
          <w:highlight w:val="none"/>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5AFA123A">
      <w:pPr>
        <w:pStyle w:val="2"/>
        <w:spacing w:before="0" w:line="360" w:lineRule="auto"/>
        <w:ind w:firstLine="472" w:firstLineChars="225"/>
        <w:rPr>
          <w:rFonts w:hint="eastAsia" w:ascii="宋体" w:hAnsi="宋体" w:eastAsia="宋体" w:cs="宋体"/>
          <w:sz w:val="21"/>
          <w:szCs w:val="21"/>
          <w:highlight w:val="none"/>
        </w:rPr>
      </w:pPr>
      <w:r>
        <w:rPr>
          <w:rFonts w:hint="eastAsia" w:ascii="宋体" w:hAnsi="宋体" w:eastAsia="宋体" w:cs="宋体"/>
          <w:sz w:val="21"/>
          <w:szCs w:val="21"/>
          <w:highlight w:val="none"/>
        </w:rPr>
        <w:t>甲方：（前款所称采购人）     住所：</w:t>
      </w:r>
    </w:p>
    <w:p w14:paraId="22DA79A0">
      <w:pPr>
        <w:pStyle w:val="2"/>
        <w:spacing w:before="0" w:line="360" w:lineRule="auto"/>
        <w:ind w:firstLine="472" w:firstLineChars="225"/>
        <w:rPr>
          <w:rFonts w:hint="eastAsia" w:ascii="宋体" w:hAnsi="宋体" w:eastAsia="宋体" w:cs="宋体"/>
          <w:sz w:val="21"/>
          <w:szCs w:val="21"/>
          <w:highlight w:val="none"/>
        </w:rPr>
      </w:pPr>
      <w:r>
        <w:rPr>
          <w:rFonts w:hint="eastAsia" w:ascii="宋体" w:hAnsi="宋体" w:eastAsia="宋体" w:cs="宋体"/>
          <w:sz w:val="21"/>
          <w:szCs w:val="21"/>
          <w:highlight w:val="none"/>
        </w:rPr>
        <w:t>乙方：（前款所称中标人）     住所：</w:t>
      </w:r>
    </w:p>
    <w:p w14:paraId="61B19786">
      <w:pPr>
        <w:pStyle w:val="2"/>
        <w:numPr>
          <w:ilvl w:val="0"/>
          <w:numId w:val="1"/>
        </w:numPr>
        <w:spacing w:before="0" w:line="360" w:lineRule="auto"/>
        <w:ind w:left="-181" w:leftChars="-86" w:firstLine="580" w:firstLineChars="275"/>
        <w:rPr>
          <w:rFonts w:hint="eastAsia" w:ascii="宋体" w:hAnsi="宋体" w:eastAsia="宋体" w:cs="宋体"/>
          <w:b/>
          <w:sz w:val="21"/>
          <w:szCs w:val="21"/>
          <w:highlight w:val="none"/>
        </w:rPr>
      </w:pPr>
      <w:r>
        <w:rPr>
          <w:rFonts w:hint="eastAsia" w:ascii="宋体" w:hAnsi="宋体" w:eastAsia="宋体" w:cs="宋体"/>
          <w:b/>
          <w:sz w:val="21"/>
          <w:szCs w:val="21"/>
          <w:highlight w:val="none"/>
        </w:rPr>
        <w:t>合同内容</w:t>
      </w:r>
    </w:p>
    <w:p w14:paraId="2BB0DB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highlight w:val="none"/>
        </w:rPr>
        <w:t>为补充城管执法力量，更好地服务市民群众，西安市雁塔区城市管理和综合执法局对协助管理服务进行采购。</w:t>
      </w:r>
    </w:p>
    <w:p w14:paraId="02CA2BF1">
      <w:pPr>
        <w:pStyle w:val="2"/>
        <w:spacing w:before="0" w:line="360" w:lineRule="auto"/>
        <w:ind w:left="-181" w:leftChars="-86" w:firstLine="580" w:firstLineChars="275"/>
        <w:rPr>
          <w:rFonts w:hint="eastAsia" w:ascii="宋体" w:hAnsi="宋体" w:eastAsia="宋体" w:cs="宋体"/>
          <w:b/>
          <w:sz w:val="21"/>
          <w:szCs w:val="21"/>
          <w:highlight w:val="none"/>
        </w:rPr>
      </w:pPr>
      <w:r>
        <w:rPr>
          <w:rFonts w:hint="eastAsia" w:ascii="宋体" w:hAnsi="宋体" w:eastAsia="宋体" w:cs="宋体"/>
          <w:b/>
          <w:sz w:val="21"/>
          <w:szCs w:val="21"/>
          <w:highlight w:val="none"/>
        </w:rPr>
        <w:t>二、合同价款</w:t>
      </w:r>
    </w:p>
    <w:p w14:paraId="172D1F3A">
      <w:pPr>
        <w:pStyle w:val="2"/>
        <w:spacing w:before="0" w:line="360" w:lineRule="auto"/>
        <w:ind w:left="-181" w:leftChars="-86" w:firstLine="577" w:firstLineChars="275"/>
        <w:rPr>
          <w:rFonts w:hint="eastAsia" w:ascii="宋体" w:hAnsi="宋体" w:eastAsia="宋体" w:cs="宋体"/>
          <w:b/>
          <w:sz w:val="21"/>
          <w:szCs w:val="21"/>
          <w:highlight w:val="none"/>
        </w:rPr>
      </w:pPr>
      <w:r>
        <w:rPr>
          <w:rFonts w:hint="eastAsia" w:ascii="宋体" w:hAnsi="宋体" w:eastAsia="宋体" w:cs="宋体"/>
          <w:sz w:val="21"/>
          <w:szCs w:val="21"/>
          <w:highlight w:val="none"/>
        </w:rPr>
        <w:t>合同总价为人民币：</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其中人员工资为</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管理费费率：</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lang w:val="en-US" w:eastAsia="zh-CN"/>
        </w:rPr>
        <w:t>管理费为</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4449DB64">
      <w:pPr>
        <w:pStyle w:val="2"/>
        <w:spacing w:before="0" w:line="360" w:lineRule="auto"/>
        <w:ind w:firstLine="474" w:firstLineChars="225"/>
        <w:rPr>
          <w:rFonts w:hint="eastAsia" w:ascii="宋体" w:hAnsi="宋体" w:eastAsia="宋体" w:cs="宋体"/>
          <w:b/>
          <w:sz w:val="21"/>
          <w:szCs w:val="21"/>
          <w:highlight w:val="none"/>
        </w:rPr>
      </w:pPr>
      <w:bookmarkStart w:id="1" w:name="_Toc20342"/>
      <w:bookmarkStart w:id="2" w:name="_Toc521307608"/>
      <w:bookmarkStart w:id="3" w:name="_Toc3174"/>
      <w:r>
        <w:rPr>
          <w:rFonts w:hint="eastAsia" w:ascii="宋体" w:hAnsi="宋体" w:eastAsia="宋体" w:cs="宋体"/>
          <w:b/>
          <w:sz w:val="21"/>
          <w:szCs w:val="21"/>
          <w:highlight w:val="none"/>
        </w:rPr>
        <w:t>三、</w:t>
      </w:r>
      <w:bookmarkEnd w:id="1"/>
      <w:bookmarkEnd w:id="2"/>
      <w:bookmarkEnd w:id="3"/>
      <w:r>
        <w:rPr>
          <w:rFonts w:hint="eastAsia" w:ascii="宋体" w:hAnsi="宋体" w:eastAsia="宋体" w:cs="宋体"/>
          <w:b/>
          <w:sz w:val="21"/>
          <w:szCs w:val="21"/>
          <w:highlight w:val="none"/>
        </w:rPr>
        <w:t>合同结算</w:t>
      </w:r>
    </w:p>
    <w:p w14:paraId="39906232">
      <w:pPr>
        <w:pStyle w:val="2"/>
        <w:spacing w:before="0" w:line="360" w:lineRule="auto"/>
        <w:ind w:left="-181" w:leftChars="-86" w:firstLine="577" w:firstLineChars="275"/>
        <w:rPr>
          <w:rFonts w:hint="eastAsia" w:ascii="宋体" w:hAnsi="宋体" w:eastAsia="宋体" w:cs="宋体"/>
          <w:sz w:val="21"/>
          <w:szCs w:val="21"/>
          <w:highlight w:val="none"/>
        </w:rPr>
      </w:pPr>
      <w:r>
        <w:rPr>
          <w:rFonts w:hint="eastAsia" w:ascii="宋体" w:hAnsi="宋体" w:eastAsia="宋体" w:cs="宋体"/>
          <w:sz w:val="21"/>
          <w:szCs w:val="21"/>
          <w:highlight w:val="none"/>
        </w:rPr>
        <w:t>1、资金支付条件及时间：每月结束后编制协助管理人员工资及奖金明细，并经</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rPr>
        <w:t>确认，每月实际支付金额据实结算（每次付款前，乙方均需提交付款申请书和等额合格发票，并经甲方审核）。</w:t>
      </w:r>
    </w:p>
    <w:p w14:paraId="0824E49D">
      <w:pPr>
        <w:pStyle w:val="2"/>
        <w:spacing w:before="0" w:line="360" w:lineRule="auto"/>
        <w:ind w:left="-181" w:leftChars="-86" w:firstLine="577" w:firstLineChars="275"/>
        <w:rPr>
          <w:rFonts w:hint="eastAsia" w:ascii="宋体" w:hAnsi="宋体" w:eastAsia="宋体" w:cs="宋体"/>
          <w:sz w:val="21"/>
          <w:szCs w:val="21"/>
          <w:highlight w:val="none"/>
        </w:rPr>
      </w:pPr>
      <w:r>
        <w:rPr>
          <w:rFonts w:hint="eastAsia" w:ascii="宋体" w:hAnsi="宋体" w:eastAsia="宋体" w:cs="宋体"/>
          <w:sz w:val="21"/>
          <w:szCs w:val="21"/>
          <w:highlight w:val="none"/>
        </w:rPr>
        <w:t>2、结算方式：银行转账。</w:t>
      </w:r>
    </w:p>
    <w:p w14:paraId="2B3C37AD">
      <w:pPr>
        <w:pStyle w:val="2"/>
        <w:spacing w:before="0" w:line="360" w:lineRule="auto"/>
        <w:ind w:left="-181" w:leftChars="-86" w:firstLine="577" w:firstLineChars="275"/>
        <w:rPr>
          <w:rFonts w:hint="eastAsia" w:ascii="宋体" w:hAnsi="宋体" w:eastAsia="宋体" w:cs="宋体"/>
          <w:sz w:val="21"/>
          <w:szCs w:val="21"/>
          <w:highlight w:val="none"/>
        </w:rPr>
      </w:pPr>
      <w:r>
        <w:rPr>
          <w:rFonts w:hint="eastAsia" w:ascii="宋体" w:hAnsi="宋体" w:eastAsia="宋体" w:cs="宋体"/>
          <w:sz w:val="21"/>
          <w:szCs w:val="21"/>
          <w:highlight w:val="none"/>
        </w:rPr>
        <w:t>3、结算单位：由</w:t>
      </w:r>
      <w:r>
        <w:rPr>
          <w:rFonts w:hint="eastAsia" w:ascii="宋体" w:hAnsi="宋体" w:eastAsia="宋体" w:cs="宋体"/>
          <w:sz w:val="21"/>
          <w:szCs w:val="21"/>
          <w:highlight w:val="none"/>
          <w:u w:val="single"/>
        </w:rPr>
        <w:t>甲方</w:t>
      </w:r>
      <w:r>
        <w:rPr>
          <w:rFonts w:hint="eastAsia" w:ascii="宋体" w:hAnsi="宋体" w:eastAsia="宋体" w:cs="宋体"/>
          <w:sz w:val="21"/>
          <w:szCs w:val="21"/>
          <w:highlight w:val="none"/>
        </w:rPr>
        <w:t>负责结算，乙方开具合同总价数的全额发票交</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rPr>
        <w:t>。</w:t>
      </w:r>
    </w:p>
    <w:p w14:paraId="006390BC">
      <w:pPr>
        <w:pStyle w:val="2"/>
        <w:spacing w:before="0" w:line="360" w:lineRule="auto"/>
        <w:ind w:firstLine="474" w:firstLineChars="225"/>
        <w:rPr>
          <w:rFonts w:hint="eastAsia" w:ascii="宋体" w:hAnsi="宋体" w:eastAsia="宋体" w:cs="宋体"/>
          <w:sz w:val="21"/>
          <w:szCs w:val="21"/>
          <w:highlight w:val="none"/>
        </w:rPr>
      </w:pPr>
      <w:bookmarkStart w:id="4" w:name="_Toc663"/>
      <w:bookmarkStart w:id="5" w:name="_Toc521307609"/>
      <w:r>
        <w:rPr>
          <w:rFonts w:hint="eastAsia" w:ascii="宋体" w:hAnsi="宋体" w:eastAsia="宋体" w:cs="宋体"/>
          <w:b/>
          <w:sz w:val="21"/>
          <w:szCs w:val="21"/>
          <w:highlight w:val="none"/>
        </w:rPr>
        <w:t>四</w:t>
      </w:r>
      <w:bookmarkEnd w:id="4"/>
      <w:bookmarkEnd w:id="5"/>
      <w:r>
        <w:rPr>
          <w:rFonts w:hint="eastAsia" w:ascii="宋体" w:hAnsi="宋体" w:eastAsia="宋体" w:cs="宋体"/>
          <w:b/>
          <w:sz w:val="21"/>
          <w:szCs w:val="21"/>
          <w:highlight w:val="none"/>
        </w:rPr>
        <w:t>、履行期限、地点及方式:</w:t>
      </w:r>
    </w:p>
    <w:p w14:paraId="200541F6">
      <w:pPr>
        <w:pStyle w:val="2"/>
        <w:spacing w:before="0" w:line="360" w:lineRule="auto"/>
        <w:ind w:firstLine="472" w:firstLineChars="225"/>
        <w:rPr>
          <w:rFonts w:hint="eastAsia" w:ascii="宋体" w:hAnsi="宋体" w:eastAsia="宋体" w:cs="宋体"/>
          <w:sz w:val="21"/>
          <w:szCs w:val="21"/>
          <w:highlight w:val="none"/>
        </w:rPr>
      </w:pPr>
      <w:r>
        <w:rPr>
          <w:rFonts w:hint="eastAsia" w:ascii="宋体" w:hAnsi="宋体" w:eastAsia="宋体" w:cs="宋体"/>
          <w:sz w:val="21"/>
          <w:szCs w:val="21"/>
          <w:highlight w:val="none"/>
        </w:rPr>
        <w:t>1、服务</w:t>
      </w:r>
      <w:r>
        <w:rPr>
          <w:rFonts w:hint="eastAsia" w:ascii="宋体" w:hAnsi="宋体" w:eastAsia="宋体" w:cs="宋体"/>
          <w:sz w:val="21"/>
          <w:szCs w:val="21"/>
          <w:highlight w:val="none"/>
          <w:lang w:val="en-US" w:eastAsia="zh-CN"/>
        </w:rPr>
        <w:t>期限</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w:t>
      </w:r>
    </w:p>
    <w:p w14:paraId="4305443D">
      <w:pPr>
        <w:pStyle w:val="2"/>
        <w:spacing w:before="0" w:line="360" w:lineRule="auto"/>
        <w:ind w:firstLine="472" w:firstLineChars="225"/>
        <w:rPr>
          <w:rFonts w:hint="eastAsia" w:ascii="宋体" w:hAnsi="宋体" w:eastAsia="宋体" w:cs="宋体"/>
          <w:sz w:val="21"/>
          <w:szCs w:val="21"/>
          <w:highlight w:val="none"/>
        </w:rPr>
      </w:pPr>
      <w:r>
        <w:rPr>
          <w:rFonts w:hint="eastAsia" w:ascii="宋体" w:hAnsi="宋体" w:eastAsia="宋体" w:cs="宋体"/>
          <w:sz w:val="21"/>
          <w:szCs w:val="21"/>
          <w:highlight w:val="none"/>
        </w:rPr>
        <w:t>2、服务地点：</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rPr>
        <w:t>指定地点</w:t>
      </w:r>
    </w:p>
    <w:p w14:paraId="114444D1">
      <w:pPr>
        <w:adjustRightInd w:val="0"/>
        <w:snapToGrid w:val="0"/>
        <w:spacing w:line="360" w:lineRule="auto"/>
        <w:ind w:firstLine="422" w:firstLineChars="200"/>
        <w:rPr>
          <w:rFonts w:hint="default" w:ascii="宋体" w:hAnsi="宋体" w:eastAsia="宋体" w:cs="宋体"/>
          <w:b/>
          <w:sz w:val="21"/>
          <w:szCs w:val="21"/>
          <w:highlight w:val="none"/>
          <w:lang w:val="en-US" w:eastAsia="zh-CN"/>
        </w:rPr>
      </w:pPr>
      <w:bookmarkStart w:id="6" w:name="_Toc19515388"/>
      <w:r>
        <w:rPr>
          <w:rFonts w:hint="eastAsia" w:ascii="宋体" w:hAnsi="宋体" w:eastAsia="宋体" w:cs="宋体"/>
          <w:b/>
          <w:sz w:val="21"/>
          <w:szCs w:val="21"/>
          <w:highlight w:val="none"/>
          <w:lang w:val="zh-CN"/>
        </w:rPr>
        <w:t>五、</w:t>
      </w:r>
      <w:bookmarkEnd w:id="6"/>
      <w:r>
        <w:rPr>
          <w:rFonts w:hint="eastAsia" w:ascii="宋体" w:hAnsi="宋体" w:eastAsia="宋体" w:cs="宋体"/>
          <w:b/>
          <w:sz w:val="21"/>
          <w:szCs w:val="21"/>
          <w:highlight w:val="none"/>
          <w:lang w:val="zh-CN"/>
        </w:rPr>
        <w:t>服务</w:t>
      </w:r>
      <w:r>
        <w:rPr>
          <w:rFonts w:hint="eastAsia" w:ascii="宋体" w:hAnsi="宋体" w:eastAsia="宋体" w:cs="宋体"/>
          <w:b/>
          <w:sz w:val="21"/>
          <w:szCs w:val="21"/>
          <w:highlight w:val="none"/>
          <w:lang w:val="en-US" w:eastAsia="zh-CN"/>
        </w:rPr>
        <w:t>内容和服务要求</w:t>
      </w:r>
    </w:p>
    <w:p w14:paraId="53F6F20F">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lang w:eastAsia="zh-CN"/>
        </w:rPr>
        <w:t>）服务内容</w:t>
      </w:r>
    </w:p>
    <w:p w14:paraId="00755CD1">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乙方</w:t>
      </w:r>
      <w:r>
        <w:rPr>
          <w:rFonts w:hint="eastAsia" w:ascii="宋体" w:hAnsi="宋体" w:eastAsia="宋体" w:cs="宋体"/>
          <w:sz w:val="21"/>
          <w:szCs w:val="21"/>
          <w:highlight w:val="none"/>
          <w:lang w:eastAsia="zh-CN"/>
        </w:rPr>
        <w:t>接受</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lang w:eastAsia="zh-CN"/>
        </w:rPr>
        <w:t>委托，对协助管理人员办理以下事宜：</w:t>
      </w:r>
    </w:p>
    <w:p w14:paraId="16E779DD">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用工服务：协助管理人员与</w:t>
      </w:r>
      <w:r>
        <w:rPr>
          <w:rFonts w:hint="eastAsia" w:ascii="宋体" w:hAnsi="宋体" w:eastAsia="宋体" w:cs="宋体"/>
          <w:sz w:val="21"/>
          <w:szCs w:val="21"/>
          <w:highlight w:val="none"/>
          <w:lang w:val="en-US" w:eastAsia="zh-CN"/>
        </w:rPr>
        <w:t>乙方</w:t>
      </w:r>
      <w:r>
        <w:rPr>
          <w:rFonts w:hint="eastAsia" w:ascii="宋体" w:hAnsi="宋体" w:eastAsia="宋体" w:cs="宋体"/>
          <w:sz w:val="21"/>
          <w:szCs w:val="21"/>
          <w:highlight w:val="none"/>
          <w:lang w:eastAsia="zh-CN"/>
        </w:rPr>
        <w:t>签订劳动合同，协助管理人员的工作地点、岗位、方式等工作状况由</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lang w:eastAsia="zh-CN"/>
        </w:rPr>
        <w:t>根据业务需要安排。</w:t>
      </w:r>
    </w:p>
    <w:p w14:paraId="6FCEFA66">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乙方</w:t>
      </w:r>
      <w:r>
        <w:rPr>
          <w:rFonts w:hint="eastAsia" w:ascii="宋体" w:hAnsi="宋体" w:eastAsia="宋体" w:cs="宋体"/>
          <w:sz w:val="21"/>
          <w:szCs w:val="21"/>
          <w:highlight w:val="none"/>
          <w:lang w:eastAsia="zh-CN"/>
        </w:rPr>
        <w:t>负责为协助管理人员办理以下手续：</w:t>
      </w:r>
    </w:p>
    <w:p w14:paraId="32AF1A53">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投标人负责为协助管理人员办理以下手续：</w:t>
      </w:r>
    </w:p>
    <w:p w14:paraId="4F6B6AE4">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1.为协助管理人员办理合法用工手续；</w:t>
      </w:r>
    </w:p>
    <w:p w14:paraId="046493B6">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2.为协助管理人员建立员工档案；</w:t>
      </w:r>
    </w:p>
    <w:p w14:paraId="0C6313DF">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3.依法为协助管理人员缴纳社会保险或者意外伤害险；</w:t>
      </w:r>
    </w:p>
    <w:p w14:paraId="7A95A13E">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4.处理协助管理人员发生工伤、生育、医疗等相关事宜；</w:t>
      </w:r>
    </w:p>
    <w:p w14:paraId="770056CF">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5.根据实际需要，为协助管理人员出具各种有关证明等；</w:t>
      </w:r>
    </w:p>
    <w:p w14:paraId="340E119F">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6.协助协助管理人员办理党员组织关系的接收手续；</w:t>
      </w:r>
    </w:p>
    <w:p w14:paraId="5C9B4480">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7.投标人为采购人提供社保的年检及员工社保的申报服务。</w:t>
      </w:r>
    </w:p>
    <w:p w14:paraId="047AF96E">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退工服务：投标人为离职的协助管理人员办理合法退工手续：</w:t>
      </w:r>
    </w:p>
    <w:p w14:paraId="72FD81CE">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1.为符合条件的协助管理人员办理失业金申领手续；</w:t>
      </w:r>
    </w:p>
    <w:p w14:paraId="5F294172">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2.为符合条件的协助管理人员办理社保的转移手续；</w:t>
      </w:r>
    </w:p>
    <w:p w14:paraId="7A11801B">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3.协助协助管理人员办理党员关系的转移；</w:t>
      </w:r>
    </w:p>
    <w:p w14:paraId="3C79B40A">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4.对于非因为采购人原因与协助管理人员发生的劳务争议，由投标人处理，与采购人无关。</w:t>
      </w:r>
    </w:p>
    <w:p w14:paraId="0EB6716A">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工资发放服务：投标人每月结束后编制派协助管理人员工资及奖金明细，并经采购人确认后由投标人发放至员工个人银行卡上；投标人将为工资发放的协助管理人员统一代扣代缴个人所得税，以及通过合法有效的途径减少或避免个人所得税的缴纳。</w:t>
      </w:r>
    </w:p>
    <w:p w14:paraId="47AF34CA">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福利发放服务：根据采购人需求为协助管理人员提供福利发放服务；</w:t>
      </w:r>
    </w:p>
    <w:p w14:paraId="393BAA4B">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政策咨询：根据采购人的情况，投标人提供本地范围内的人事、劳动、社保待遇及员工福利政策咨询，仅以政府发布政策的提供和解释为限。</w:t>
      </w:r>
    </w:p>
    <w:p w14:paraId="0F5536A3">
      <w:pPr>
        <w:adjustRightInd w:val="0"/>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lang w:eastAsia="zh-CN"/>
        </w:rPr>
        <w:t>）服务要求</w:t>
      </w:r>
    </w:p>
    <w:p w14:paraId="612823CF">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1.采购人对协助管理人员的聘用有选择权、决定权，并在服务期内具有工作安排管理指挥权。</w:t>
      </w:r>
    </w:p>
    <w:p w14:paraId="295E1A1C">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2.采购人有权根据业务需要确定协助管理人员的工作地点、岗位、考核方式等标准，但上述内容应符法律法规的规定。</w:t>
      </w:r>
    </w:p>
    <w:p w14:paraId="682F1150">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3.采购人应履行劳动合同法第62条规定的义务，维护被协助管理人员的合法权益。</w:t>
      </w:r>
    </w:p>
    <w:p w14:paraId="11F87443">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4.对于中标人与协助管理人员签订劳动合同并安排到采购单位工作的员工，甲方可以设定试用期。</w:t>
      </w:r>
    </w:p>
    <w:p w14:paraId="370446C9">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5.协助管理人员工资不得低于西安市最低工资标准。</w:t>
      </w:r>
    </w:p>
    <w:p w14:paraId="49A74FE6">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6.协助管理人员有下列情形之一的，采购人提供书面证明材料可以将协助管理人员退回乙方，且无须向中标人支付经济补偿，但应提前5个工作日以书面形式通知中标人。</w:t>
      </w:r>
    </w:p>
    <w:p w14:paraId="2634EAF3">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在试用期间被证明不符合甲方录用条件的；</w:t>
      </w:r>
    </w:p>
    <w:p w14:paraId="577359A9">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严重违反甲方单位的规章制度的；</w:t>
      </w:r>
    </w:p>
    <w:p w14:paraId="2431BD04">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严重失职，营私舞弊，给甲方造成重大损害的；</w:t>
      </w:r>
    </w:p>
    <w:p w14:paraId="7D2C05A5">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协助管理人员同时与其他用人单位建立劳动关系、对完成甲方的工作任务造成严重影响，或者经用人单位提出，拒不改正的；</w:t>
      </w:r>
    </w:p>
    <w:p w14:paraId="31729D8B">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以欺诈、胁迫的手段或者乘人之危，使对方在违背真实意思的情况下订立或者变更劳动合同的致使劳动合同无效的；</w:t>
      </w:r>
    </w:p>
    <w:p w14:paraId="445A3398">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被依法追究刑事责任的；</w:t>
      </w:r>
    </w:p>
    <w:p w14:paraId="2E145183">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合同期未满，协助管理人员提出停止合同或擅自离岗；</w:t>
      </w:r>
    </w:p>
    <w:p w14:paraId="6D348C87">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其他符合法律、法规、政策规定的情形。</w:t>
      </w:r>
    </w:p>
    <w:p w14:paraId="57E0F49F">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7.协助管理人员有下列情形之一的，采购人有权将协助管理人员退回中标人，但应提前30日以书面形式通知中标人，涉及以下情况所产生经济补偿，采购人按照国家有关规定办理。</w:t>
      </w:r>
    </w:p>
    <w:p w14:paraId="741FCA0F">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患病或者非因工负伤，在规定的医疗期满后不能从事原工作，也不能从事由用人单位另行安排的工作的；</w:t>
      </w:r>
    </w:p>
    <w:p w14:paraId="60CDE16A">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不能胜任工作，经过培训或者调整工作岗位，仍不能胜任工作的；</w:t>
      </w:r>
    </w:p>
    <w:p w14:paraId="13BA1D38">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本协议订立时所依据的客观情况发生重大变化，致使劳动合同无法履行，经甲、乙双方与其协商，未能就变更劳动合同内容达成协议的；</w:t>
      </w:r>
    </w:p>
    <w:p w14:paraId="27593FE0">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协助管理人员合同期满而终止合同的（除用工单位维持或提高劳动条件，但协助管理人员拒绝续签的情形以外）；</w:t>
      </w:r>
    </w:p>
    <w:p w14:paraId="6DB5B975">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经采购人、中标人双方和协助管理人员协商，达成书面协议同意解除劳动合同的；</w:t>
      </w:r>
    </w:p>
    <w:p w14:paraId="0ED010A2">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法律、法规规定的其他情形。</w:t>
      </w:r>
    </w:p>
    <w:p w14:paraId="1A71F7E4">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8.根据法律规定和地方政府的规定，采购人要求中标人代办的有关事项所发生的实际费用，由采购人支付。</w:t>
      </w:r>
    </w:p>
    <w:p w14:paraId="31FC452E">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9.采购人有权随时派员查看协助管理人员的社保保险账目，中标人必须配合。</w:t>
      </w:r>
    </w:p>
    <w:p w14:paraId="343175DD">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10.采购人每月18日前向中标人提供次月协助管理人员新增及离职人员信息，因采购人提供离职信息不及时从而造成中标人已申报缴纳社保费用，且社保部门不予以退费时，已产生的个人及单位的社保费用由采购人承担。</w:t>
      </w:r>
    </w:p>
    <w:p w14:paraId="2223F061">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11.采购人应依法向中标人协助管理人员提供符合劳动保护规定的工作场所、工作条件和福利待遇。协助管理人员从事有职业危害工作的，采购人应依照国家相关法律规定执行。</w:t>
      </w:r>
    </w:p>
    <w:p w14:paraId="4C83DEC9">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12.采购人有权对协助管理人员的工作班次、休息日，根据工作需要合理调整。如采购人需安排协助管理人员加班的，采购人应支付加班费并应符合政府的有关规定；</w:t>
      </w:r>
    </w:p>
    <w:p w14:paraId="36D8B7B4">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13.采购人在接到协助管理人员的离职通知后，采购人应在5日（如遇国家法定节假日顺延）内书面告知中标人并将协助管理人员经本人签字的辞职申请或其它资料交中标人。</w:t>
      </w:r>
    </w:p>
    <w:p w14:paraId="19161B5F">
      <w:pPr>
        <w:adjustRightInd w:val="0"/>
        <w:snapToGrid w:val="0"/>
        <w:spacing w:line="360" w:lineRule="auto"/>
        <w:ind w:firstLine="420" w:firstLineChars="200"/>
        <w:rPr>
          <w:rFonts w:hint="eastAsia" w:ascii="宋体" w:hAnsi="宋体" w:eastAsia="宋体" w:cs="宋体"/>
          <w:b w:val="0"/>
          <w:bCs/>
          <w:sz w:val="21"/>
          <w:szCs w:val="21"/>
          <w:highlight w:val="none"/>
          <w:lang w:val="zh-CN"/>
        </w:rPr>
      </w:pPr>
      <w:r>
        <w:rPr>
          <w:rFonts w:hint="eastAsia" w:ascii="宋体" w:hAnsi="宋体" w:eastAsia="宋体" w:cs="宋体"/>
          <w:b w:val="0"/>
          <w:bCs/>
          <w:sz w:val="21"/>
          <w:szCs w:val="21"/>
          <w:highlight w:val="none"/>
          <w:lang w:val="zh-CN"/>
        </w:rPr>
        <w:t>14.投标人应具备应急管理的能力。</w:t>
      </w:r>
    </w:p>
    <w:p w14:paraId="12664936">
      <w:pPr>
        <w:adjustRightInd w:val="0"/>
        <w:snapToGrid w:val="0"/>
        <w:spacing w:line="360" w:lineRule="auto"/>
        <w:ind w:firstLine="422" w:firstLineChars="200"/>
        <w:rPr>
          <w:rFonts w:hint="eastAsia" w:ascii="宋体" w:hAnsi="宋体" w:eastAsia="宋体" w:cs="宋体"/>
          <w:b/>
          <w:sz w:val="21"/>
          <w:szCs w:val="21"/>
          <w:highlight w:val="none"/>
          <w:lang w:val="zh-CN"/>
        </w:rPr>
      </w:pPr>
      <w:r>
        <w:rPr>
          <w:rFonts w:hint="eastAsia" w:ascii="宋体" w:hAnsi="宋体" w:eastAsia="宋体" w:cs="宋体"/>
          <w:b/>
          <w:sz w:val="21"/>
          <w:szCs w:val="21"/>
          <w:highlight w:val="none"/>
          <w:lang w:val="zh-CN"/>
        </w:rPr>
        <w:t>六、甲方的权利和义务</w:t>
      </w:r>
    </w:p>
    <w:p w14:paraId="6A1D111F">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1、甲方单位人员有权指导乙方</w:t>
      </w:r>
      <w:r>
        <w:rPr>
          <w:rFonts w:hint="eastAsia" w:ascii="宋体" w:hAnsi="宋体" w:eastAsia="宋体" w:cs="宋体"/>
          <w:sz w:val="21"/>
          <w:szCs w:val="21"/>
          <w:highlight w:val="none"/>
        </w:rPr>
        <w:t>工作人</w:t>
      </w:r>
      <w:r>
        <w:rPr>
          <w:rFonts w:hint="eastAsia" w:ascii="宋体" w:hAnsi="宋体" w:eastAsia="宋体" w:cs="宋体"/>
          <w:sz w:val="21"/>
          <w:szCs w:val="21"/>
          <w:highlight w:val="none"/>
          <w:lang w:val="zh-CN"/>
        </w:rPr>
        <w:t>员的各项工作，监督乙方合同执行效果，并对不完善的地方提出整改要求，乙方需配合执行。</w:t>
      </w:r>
    </w:p>
    <w:p w14:paraId="71B8C8C0">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2、甲方有权检查乙方</w:t>
      </w:r>
      <w:r>
        <w:rPr>
          <w:rFonts w:hint="eastAsia" w:ascii="宋体" w:hAnsi="宋体" w:eastAsia="宋体" w:cs="宋体"/>
          <w:sz w:val="21"/>
          <w:szCs w:val="21"/>
          <w:highlight w:val="none"/>
        </w:rPr>
        <w:t>人员</w:t>
      </w:r>
      <w:r>
        <w:rPr>
          <w:rFonts w:hint="eastAsia" w:ascii="宋体" w:hAnsi="宋体" w:eastAsia="宋体" w:cs="宋体"/>
          <w:sz w:val="21"/>
          <w:szCs w:val="21"/>
          <w:highlight w:val="none"/>
          <w:lang w:val="zh-CN"/>
        </w:rPr>
        <w:t>的劳动合同及社会保险凭证，有权要求乙方更换不合格</w:t>
      </w:r>
      <w:r>
        <w:rPr>
          <w:rFonts w:hint="eastAsia" w:ascii="宋体" w:hAnsi="宋体" w:eastAsia="宋体" w:cs="宋体"/>
          <w:sz w:val="21"/>
          <w:szCs w:val="21"/>
          <w:highlight w:val="none"/>
        </w:rPr>
        <w:t>工作</w:t>
      </w:r>
      <w:r>
        <w:rPr>
          <w:rFonts w:hint="eastAsia" w:ascii="宋体" w:hAnsi="宋体" w:eastAsia="宋体" w:cs="宋体"/>
          <w:sz w:val="21"/>
          <w:szCs w:val="21"/>
          <w:highlight w:val="none"/>
          <w:lang w:val="zh-CN"/>
        </w:rPr>
        <w:t>人员。</w:t>
      </w:r>
    </w:p>
    <w:p w14:paraId="54834E8F">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3、甲方有权对进入服务区内</w:t>
      </w:r>
      <w:r>
        <w:rPr>
          <w:rFonts w:hint="eastAsia" w:ascii="宋体" w:hAnsi="宋体" w:eastAsia="宋体" w:cs="宋体"/>
          <w:sz w:val="21"/>
          <w:szCs w:val="21"/>
          <w:highlight w:val="none"/>
        </w:rPr>
        <w:t>工作人</w:t>
      </w:r>
      <w:r>
        <w:rPr>
          <w:rFonts w:hint="eastAsia" w:ascii="宋体" w:hAnsi="宋体" w:eastAsia="宋体" w:cs="宋体"/>
          <w:sz w:val="21"/>
          <w:szCs w:val="21"/>
          <w:highlight w:val="none"/>
          <w:lang w:val="zh-CN"/>
        </w:rPr>
        <w:t>员进行年龄核对，以身份证为准。</w:t>
      </w:r>
    </w:p>
    <w:p w14:paraId="41BAAB12">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4、甲方有权对</w:t>
      </w:r>
      <w:r>
        <w:rPr>
          <w:rFonts w:hint="eastAsia" w:ascii="宋体" w:hAnsi="宋体" w:eastAsia="宋体" w:cs="宋体"/>
          <w:sz w:val="21"/>
          <w:szCs w:val="21"/>
          <w:highlight w:val="none"/>
        </w:rPr>
        <w:t>工作人员</w:t>
      </w:r>
      <w:r>
        <w:rPr>
          <w:rFonts w:hint="eastAsia" w:ascii="宋体" w:hAnsi="宋体" w:eastAsia="宋体" w:cs="宋体"/>
          <w:sz w:val="21"/>
          <w:szCs w:val="21"/>
          <w:highlight w:val="none"/>
          <w:lang w:val="zh-CN"/>
        </w:rPr>
        <w:t>进行合理询问，依据合同检查是否执行岗位服务内容。</w:t>
      </w:r>
    </w:p>
    <w:p w14:paraId="2954FEB6">
      <w:pPr>
        <w:adjustRightInd w:val="0"/>
        <w:snapToGrid w:val="0"/>
        <w:spacing w:line="360" w:lineRule="auto"/>
        <w:ind w:firstLine="422" w:firstLineChars="200"/>
        <w:rPr>
          <w:rFonts w:hint="eastAsia" w:ascii="宋体" w:hAnsi="宋体" w:eastAsia="宋体" w:cs="宋体"/>
          <w:b/>
          <w:sz w:val="21"/>
          <w:szCs w:val="21"/>
          <w:highlight w:val="none"/>
          <w:lang w:val="zh-CN"/>
        </w:rPr>
      </w:pPr>
      <w:r>
        <w:rPr>
          <w:rFonts w:hint="eastAsia" w:ascii="宋体" w:hAnsi="宋体" w:eastAsia="宋体" w:cs="宋体"/>
          <w:b/>
          <w:sz w:val="21"/>
          <w:szCs w:val="21"/>
          <w:highlight w:val="none"/>
          <w:lang w:val="zh-CN"/>
        </w:rPr>
        <w:t>七、乙方的权利和义务</w:t>
      </w:r>
    </w:p>
    <w:p w14:paraId="2D74C3B1">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1、乙方的</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必须严格遵守甲方的规章制度，以良好的形象和积极的工作态度，按甲方要求开展工作；</w:t>
      </w:r>
    </w:p>
    <w:p w14:paraId="0CEDD11C">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2、乙方为甲方提供的</w:t>
      </w:r>
      <w:r>
        <w:rPr>
          <w:rFonts w:hint="eastAsia" w:ascii="宋体" w:hAnsi="宋体" w:eastAsia="宋体" w:cs="宋体"/>
          <w:sz w:val="21"/>
          <w:szCs w:val="21"/>
          <w:highlight w:val="none"/>
        </w:rPr>
        <w:t>工作人员</w:t>
      </w:r>
      <w:r>
        <w:rPr>
          <w:rFonts w:hint="eastAsia" w:ascii="宋体" w:hAnsi="宋体" w:eastAsia="宋体" w:cs="宋体"/>
          <w:sz w:val="21"/>
          <w:szCs w:val="21"/>
          <w:highlight w:val="none"/>
          <w:lang w:val="zh-CN"/>
        </w:rPr>
        <w:t>必须符合</w:t>
      </w:r>
      <w:r>
        <w:rPr>
          <w:rFonts w:hint="eastAsia" w:ascii="宋体" w:hAnsi="宋体" w:eastAsia="宋体" w:cs="宋体"/>
          <w:sz w:val="21"/>
          <w:szCs w:val="21"/>
          <w:highlight w:val="none"/>
        </w:rPr>
        <w:t>甲方</w:t>
      </w:r>
      <w:r>
        <w:rPr>
          <w:rFonts w:hint="eastAsia" w:ascii="宋体" w:hAnsi="宋体" w:eastAsia="宋体" w:cs="宋体"/>
          <w:sz w:val="21"/>
          <w:szCs w:val="21"/>
          <w:highlight w:val="none"/>
          <w:lang w:val="zh-CN"/>
        </w:rPr>
        <w:t>的要求，培训达标后持证上岗；</w:t>
      </w:r>
    </w:p>
    <w:p w14:paraId="70618975">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3、乙方应遵照《劳动法》，与</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签订劳动合同，应根据《劳动法》、《工伤保险条例》等法律法规规定，为</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提供社会保险等福利，并向</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lang w:val="zh-CN"/>
        </w:rPr>
        <w:t>提供劳动合同、社会保险原件，经甲方确认后，由甲方留存劳动合同、社会保险复印件；</w:t>
      </w:r>
    </w:p>
    <w:p w14:paraId="572D05DC">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4、乙方应严格履行甲方的</w:t>
      </w:r>
      <w:r>
        <w:rPr>
          <w:rFonts w:hint="eastAsia" w:ascii="宋体" w:hAnsi="宋体" w:eastAsia="宋体" w:cs="宋体"/>
          <w:sz w:val="21"/>
          <w:szCs w:val="21"/>
          <w:highlight w:val="none"/>
        </w:rPr>
        <w:t>工作要求</w:t>
      </w:r>
      <w:r>
        <w:rPr>
          <w:rFonts w:hint="eastAsia" w:ascii="宋体" w:hAnsi="宋体" w:eastAsia="宋体" w:cs="宋体"/>
          <w:sz w:val="21"/>
          <w:szCs w:val="21"/>
          <w:highlight w:val="none"/>
          <w:lang w:val="zh-CN"/>
        </w:rPr>
        <w:t>；</w:t>
      </w:r>
    </w:p>
    <w:p w14:paraId="34A74BC6">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5、乙方</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凡违反岗位要求及附件中各项规章制度规定，甲方经乙方确认后，扣除</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当日服务费的50%；</w:t>
      </w:r>
    </w:p>
    <w:p w14:paraId="3FFF0AD0">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6、乙方需满足甲方</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人数和服务质量要求，经甲方与乙方双方</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负责人确认，对达不到本项目采购要求所述条件要求的人员进行更换；</w:t>
      </w:r>
    </w:p>
    <w:p w14:paraId="52D8FC80">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7、</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根据</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lang w:val="zh-CN"/>
        </w:rPr>
        <w:t>不同区域的不同特点，做好防火、防盗、防破坏工作，如遇紧急事件，及时向相关领导汇报；</w:t>
      </w:r>
    </w:p>
    <w:p w14:paraId="43363AB9">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rPr>
        <w:t>8</w:t>
      </w:r>
      <w:r>
        <w:rPr>
          <w:rFonts w:hint="eastAsia" w:ascii="宋体" w:hAnsi="宋体" w:eastAsia="宋体" w:cs="宋体"/>
          <w:sz w:val="21"/>
          <w:szCs w:val="21"/>
          <w:highlight w:val="none"/>
          <w:lang w:val="zh-CN"/>
        </w:rPr>
        <w:t>、乙方</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在甲方服务区域内违法、犯罪，乙方应负全部责任；</w:t>
      </w:r>
    </w:p>
    <w:p w14:paraId="40A368E9">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rPr>
        <w:t>9</w:t>
      </w:r>
      <w:r>
        <w:rPr>
          <w:rFonts w:hint="eastAsia" w:ascii="宋体" w:hAnsi="宋体" w:eastAsia="宋体" w:cs="宋体"/>
          <w:sz w:val="21"/>
          <w:szCs w:val="21"/>
          <w:highlight w:val="none"/>
          <w:lang w:val="zh-CN"/>
        </w:rPr>
        <w:t>、如乙方</w:t>
      </w:r>
      <w:r>
        <w:rPr>
          <w:rFonts w:hint="eastAsia" w:ascii="宋体" w:hAnsi="宋体" w:eastAsia="宋体" w:cs="宋体"/>
          <w:sz w:val="21"/>
          <w:szCs w:val="21"/>
          <w:highlight w:val="none"/>
        </w:rPr>
        <w:t>员工</w:t>
      </w:r>
      <w:r>
        <w:rPr>
          <w:rFonts w:hint="eastAsia" w:ascii="宋体" w:hAnsi="宋体" w:eastAsia="宋体" w:cs="宋体"/>
          <w:sz w:val="21"/>
          <w:szCs w:val="21"/>
          <w:highlight w:val="none"/>
          <w:lang w:val="zh-CN"/>
        </w:rPr>
        <w:t>在经营服务中为抢救</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lang w:val="zh-CN"/>
        </w:rPr>
        <w:t>生命、财产致伤、致残、致死亡，其赔偿费用应从工伤保险基金中支付；</w:t>
      </w:r>
    </w:p>
    <w:p w14:paraId="30C3F2DA">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1</w:t>
      </w:r>
      <w:r>
        <w:rPr>
          <w:rFonts w:hint="eastAsia" w:ascii="宋体" w:hAnsi="宋体" w:eastAsia="宋体" w:cs="宋体"/>
          <w:sz w:val="21"/>
          <w:szCs w:val="21"/>
          <w:highlight w:val="none"/>
        </w:rPr>
        <w:t>0</w:t>
      </w:r>
      <w:r>
        <w:rPr>
          <w:rFonts w:hint="eastAsia" w:ascii="宋体" w:hAnsi="宋体" w:eastAsia="宋体" w:cs="宋体"/>
          <w:sz w:val="21"/>
          <w:szCs w:val="21"/>
          <w:highlight w:val="none"/>
          <w:lang w:val="zh-CN"/>
        </w:rPr>
        <w:t>、对甲方区域内的不安全隐患应及时提出书面建议并积极配合改进、解决。</w:t>
      </w:r>
    </w:p>
    <w:p w14:paraId="7896A19C">
      <w:pPr>
        <w:adjustRightInd w:val="0"/>
        <w:snapToGrid w:val="0"/>
        <w:spacing w:line="360" w:lineRule="auto"/>
        <w:ind w:firstLine="422" w:firstLineChars="200"/>
        <w:rPr>
          <w:rFonts w:hint="eastAsia" w:ascii="宋体" w:hAnsi="宋体" w:eastAsia="宋体" w:cs="宋体"/>
          <w:b/>
          <w:sz w:val="21"/>
          <w:szCs w:val="21"/>
          <w:highlight w:val="none"/>
          <w:lang w:val="zh-CN"/>
        </w:rPr>
      </w:pPr>
      <w:r>
        <w:rPr>
          <w:rFonts w:hint="eastAsia" w:ascii="宋体" w:hAnsi="宋体" w:eastAsia="宋体" w:cs="宋体"/>
          <w:b/>
          <w:sz w:val="21"/>
          <w:szCs w:val="21"/>
          <w:highlight w:val="none"/>
          <w:lang w:val="zh-CN"/>
        </w:rPr>
        <w:t>八、保密规定</w:t>
      </w:r>
    </w:p>
    <w:p w14:paraId="133B19C0">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F1C60BE">
      <w:pPr>
        <w:adjustRightInd w:val="0"/>
        <w:snapToGrid w:val="0"/>
        <w:spacing w:line="360" w:lineRule="auto"/>
        <w:ind w:firstLine="422" w:firstLineChars="200"/>
        <w:rPr>
          <w:rFonts w:hint="eastAsia" w:ascii="宋体" w:hAnsi="宋体" w:eastAsia="宋体" w:cs="宋体"/>
          <w:b/>
          <w:sz w:val="21"/>
          <w:szCs w:val="21"/>
          <w:highlight w:val="none"/>
          <w:lang w:val="zh-CN"/>
        </w:rPr>
      </w:pPr>
      <w:bookmarkStart w:id="7" w:name="_Toc19515391"/>
      <w:r>
        <w:rPr>
          <w:rFonts w:hint="eastAsia" w:ascii="宋体" w:hAnsi="宋体" w:eastAsia="宋体" w:cs="宋体"/>
          <w:b/>
          <w:sz w:val="21"/>
          <w:szCs w:val="21"/>
          <w:highlight w:val="none"/>
          <w:lang w:val="zh-CN"/>
        </w:rPr>
        <w:t>九、验收</w:t>
      </w:r>
      <w:bookmarkEnd w:id="7"/>
    </w:p>
    <w:p w14:paraId="5E3369F2">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验收依据：</w:t>
      </w:r>
    </w:p>
    <w:p w14:paraId="4609A63F">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1、合同文本、合同附件、招标文件、投标文件。</w:t>
      </w:r>
    </w:p>
    <w:p w14:paraId="10E71670">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2、国内相应的标准、规范。</w:t>
      </w:r>
    </w:p>
    <w:p w14:paraId="7DEF145B">
      <w:pPr>
        <w:adjustRightInd w:val="0"/>
        <w:snapToGrid w:val="0"/>
        <w:spacing w:line="360" w:lineRule="auto"/>
        <w:ind w:firstLine="422" w:firstLineChars="200"/>
        <w:rPr>
          <w:rFonts w:hint="eastAsia" w:ascii="宋体" w:hAnsi="宋体" w:eastAsia="宋体" w:cs="宋体"/>
          <w:b/>
          <w:sz w:val="21"/>
          <w:szCs w:val="21"/>
          <w:highlight w:val="none"/>
          <w:lang w:val="zh-CN"/>
        </w:rPr>
      </w:pPr>
      <w:bookmarkStart w:id="8" w:name="_Toc19515392"/>
      <w:r>
        <w:rPr>
          <w:rFonts w:hint="eastAsia" w:ascii="宋体" w:hAnsi="宋体" w:eastAsia="宋体" w:cs="宋体"/>
          <w:b/>
          <w:sz w:val="21"/>
          <w:szCs w:val="21"/>
          <w:highlight w:val="none"/>
          <w:lang w:val="zh-CN"/>
        </w:rPr>
        <w:t>十、违约责任</w:t>
      </w:r>
      <w:bookmarkEnd w:id="8"/>
    </w:p>
    <w:p w14:paraId="23828A59">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乙方违反本协议约定，不能完成本协议约定的服务内容或标准，甲方有权要求乙方限期整改、逾期未改正的甲方有权终止服务合同，若同时给甲方或使用方造成经济损失的乙方应承担相应的赔偿责任。</w:t>
      </w:r>
    </w:p>
    <w:p w14:paraId="4AE6B356">
      <w:pPr>
        <w:adjustRightInd w:val="0"/>
        <w:snapToGrid w:val="0"/>
        <w:spacing w:line="360" w:lineRule="auto"/>
        <w:ind w:firstLine="422" w:firstLineChars="200"/>
        <w:rPr>
          <w:rFonts w:hint="eastAsia" w:ascii="宋体" w:hAnsi="宋体" w:eastAsia="宋体" w:cs="宋体"/>
          <w:b/>
          <w:sz w:val="21"/>
          <w:szCs w:val="21"/>
          <w:highlight w:val="none"/>
          <w:lang w:val="zh-CN"/>
        </w:rPr>
      </w:pPr>
      <w:r>
        <w:rPr>
          <w:rFonts w:hint="eastAsia" w:ascii="宋体" w:hAnsi="宋体" w:eastAsia="宋体" w:cs="宋体"/>
          <w:b/>
          <w:sz w:val="21"/>
          <w:szCs w:val="21"/>
          <w:highlight w:val="none"/>
          <w:lang w:val="zh-CN"/>
        </w:rPr>
        <w:t>十一、不可抗力事件处理</w:t>
      </w:r>
    </w:p>
    <w:p w14:paraId="49656A3C">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7E19496A">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2、本合同中的不可抗力指不能预见、不能避免并不能克服的客观情况。包括但不限于：自然灾害如地震、台风、洪水、火灾、新冠疫情等；政府行为、法律规定或其适用的变化或者其他任何无法预见、避免或者控制的事件。</w:t>
      </w:r>
    </w:p>
    <w:p w14:paraId="4CDA7A63">
      <w:pPr>
        <w:adjustRightInd w:val="0"/>
        <w:snapToGrid w:val="0"/>
        <w:spacing w:line="360" w:lineRule="auto"/>
        <w:ind w:firstLine="422" w:firstLineChars="200"/>
        <w:rPr>
          <w:rFonts w:hint="eastAsia" w:ascii="宋体" w:hAnsi="宋体" w:eastAsia="宋体" w:cs="宋体"/>
          <w:b/>
          <w:sz w:val="21"/>
          <w:szCs w:val="21"/>
          <w:highlight w:val="none"/>
          <w:lang w:val="zh-CN"/>
        </w:rPr>
      </w:pPr>
      <w:bookmarkStart w:id="9" w:name="_Toc19515393"/>
      <w:r>
        <w:rPr>
          <w:rFonts w:hint="eastAsia" w:ascii="宋体" w:hAnsi="宋体" w:eastAsia="宋体" w:cs="宋体"/>
          <w:b/>
          <w:sz w:val="21"/>
          <w:szCs w:val="21"/>
          <w:highlight w:val="none"/>
          <w:lang w:val="zh-CN"/>
        </w:rPr>
        <w:t>十二、合同组成</w:t>
      </w:r>
      <w:bookmarkEnd w:id="9"/>
    </w:p>
    <w:p w14:paraId="6C3F380A">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1、中标通知书</w:t>
      </w:r>
    </w:p>
    <w:p w14:paraId="60C71A91">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2、合同文件</w:t>
      </w:r>
    </w:p>
    <w:p w14:paraId="41F9741C">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3、国家相关规范及标准</w:t>
      </w:r>
    </w:p>
    <w:p w14:paraId="20C6DA20">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4、公开招标文件</w:t>
      </w:r>
    </w:p>
    <w:p w14:paraId="24DC3F57">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5、投标文件</w:t>
      </w:r>
    </w:p>
    <w:p w14:paraId="7DB4746C">
      <w:pPr>
        <w:adjustRightInd w:val="0"/>
        <w:snapToGrid w:val="0"/>
        <w:spacing w:line="360" w:lineRule="auto"/>
        <w:ind w:firstLine="422" w:firstLineChars="200"/>
        <w:rPr>
          <w:rFonts w:hint="eastAsia" w:ascii="宋体" w:hAnsi="宋体" w:eastAsia="宋体" w:cs="宋体"/>
          <w:b/>
          <w:sz w:val="21"/>
          <w:szCs w:val="21"/>
          <w:highlight w:val="none"/>
          <w:lang w:val="zh-CN"/>
        </w:rPr>
      </w:pPr>
      <w:bookmarkStart w:id="10" w:name="_Toc19515394"/>
      <w:r>
        <w:rPr>
          <w:rFonts w:hint="eastAsia" w:ascii="宋体" w:hAnsi="宋体" w:eastAsia="宋体" w:cs="宋体"/>
          <w:b/>
          <w:sz w:val="21"/>
          <w:szCs w:val="21"/>
          <w:highlight w:val="none"/>
          <w:lang w:val="zh-CN"/>
        </w:rPr>
        <w:t>十三、解决争议的方法</w:t>
      </w:r>
      <w:bookmarkEnd w:id="10"/>
    </w:p>
    <w:p w14:paraId="06282FFA">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凡因本合同引起的或与本合同有关的争议，双方应友好协商解决。协商不成时，双方均同意采用以下第（  ）种争议解决方式：</w:t>
      </w:r>
    </w:p>
    <w:p w14:paraId="1946BFFD">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（1）、甲、乙双方均同意向（甲方所在地人民法院）提起诉讼。</w:t>
      </w:r>
    </w:p>
    <w:p w14:paraId="6E26D8AD">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（2）、甲、乙双方均同意向（</w:t>
      </w:r>
      <w:r>
        <w:rPr>
          <w:rFonts w:hint="eastAsia" w:ascii="宋体" w:hAnsi="宋体" w:eastAsia="宋体" w:cs="宋体"/>
          <w:sz w:val="21"/>
          <w:szCs w:val="21"/>
          <w:highlight w:val="none"/>
          <w:lang w:val="zh-CN"/>
        </w:rPr>
        <w:fldChar w:fldCharType="begin"/>
      </w:r>
      <w:r>
        <w:rPr>
          <w:rFonts w:hint="eastAsia" w:ascii="宋体" w:hAnsi="宋体" w:eastAsia="宋体" w:cs="宋体"/>
          <w:sz w:val="21"/>
          <w:szCs w:val="21"/>
          <w:highlight w:val="none"/>
          <w:lang w:val="zh-CN"/>
        </w:rPr>
        <w:instrText xml:space="preserve"> HYPERLINK "http://www.baidu.com/s?wd=%E4%BB%B2%E8%A3%81%E5%A7%94%E5%91%98%E4%BC%9A&amp;tn=SE_PcZhidaonwhc_ngpagmjz&amp;rsv_dl=gh_pc_zhidao" \t "_blank" </w:instrText>
      </w:r>
      <w:r>
        <w:rPr>
          <w:rFonts w:hint="eastAsia" w:ascii="宋体" w:hAnsi="宋体" w:eastAsia="宋体" w:cs="宋体"/>
          <w:sz w:val="21"/>
          <w:szCs w:val="21"/>
          <w:highlight w:val="none"/>
          <w:lang w:val="zh-CN"/>
        </w:rPr>
        <w:fldChar w:fldCharType="separate"/>
      </w:r>
      <w:r>
        <w:rPr>
          <w:rFonts w:hint="eastAsia" w:ascii="宋体" w:hAnsi="宋体" w:eastAsia="宋体" w:cs="宋体"/>
          <w:sz w:val="21"/>
          <w:szCs w:val="21"/>
          <w:highlight w:val="none"/>
          <w:lang w:val="zh-CN"/>
        </w:rPr>
        <w:t>仲裁委员会</w:t>
      </w:r>
      <w:r>
        <w:rPr>
          <w:rFonts w:hint="eastAsia" w:ascii="宋体" w:hAnsi="宋体" w:eastAsia="宋体" w:cs="宋体"/>
          <w:sz w:val="21"/>
          <w:szCs w:val="21"/>
          <w:highlight w:val="none"/>
          <w:lang w:val="zh-CN"/>
        </w:rPr>
        <w:fldChar w:fldCharType="end"/>
      </w:r>
      <w:r>
        <w:rPr>
          <w:rFonts w:hint="eastAsia" w:ascii="宋体" w:hAnsi="宋体" w:eastAsia="宋体" w:cs="宋体"/>
          <w:sz w:val="21"/>
          <w:szCs w:val="21"/>
          <w:highlight w:val="none"/>
          <w:lang w:val="zh-CN"/>
        </w:rPr>
        <w:t>）提起仲裁。</w:t>
      </w:r>
    </w:p>
    <w:p w14:paraId="32E6D256">
      <w:pPr>
        <w:adjustRightInd w:val="0"/>
        <w:snapToGrid w:val="0"/>
        <w:spacing w:line="360" w:lineRule="auto"/>
        <w:ind w:firstLine="422" w:firstLineChars="200"/>
        <w:rPr>
          <w:rFonts w:hint="eastAsia" w:ascii="宋体" w:hAnsi="宋体" w:eastAsia="宋体" w:cs="宋体"/>
          <w:b/>
          <w:sz w:val="21"/>
          <w:szCs w:val="21"/>
          <w:highlight w:val="none"/>
          <w:lang w:val="zh-CN"/>
        </w:rPr>
      </w:pPr>
      <w:bookmarkStart w:id="11" w:name="_Toc19515395"/>
      <w:r>
        <w:rPr>
          <w:rFonts w:hint="eastAsia" w:ascii="宋体" w:hAnsi="宋体" w:eastAsia="宋体" w:cs="宋体"/>
          <w:b/>
          <w:sz w:val="21"/>
          <w:szCs w:val="21"/>
          <w:highlight w:val="none"/>
          <w:lang w:val="zh-CN"/>
        </w:rPr>
        <w:t>十四、合同生效及其它</w:t>
      </w:r>
      <w:bookmarkEnd w:id="11"/>
    </w:p>
    <w:p w14:paraId="094C4133">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1、合同未尽事宜、由甲、乙双方协商，作为合同补充，与原合同具有同等法律效力。</w:t>
      </w:r>
    </w:p>
    <w:p w14:paraId="617CDF87">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2、 本合同一式</w:t>
      </w:r>
      <w:r>
        <w:rPr>
          <w:rFonts w:hint="eastAsia" w:ascii="宋体" w:hAnsi="宋体" w:eastAsia="宋体" w:cs="宋体"/>
          <w:sz w:val="21"/>
          <w:szCs w:val="21"/>
          <w:highlight w:val="none"/>
          <w:u w:val="single"/>
          <w:lang w:val="zh-CN"/>
        </w:rPr>
        <w:t xml:space="preserve">  </w:t>
      </w:r>
      <w:r>
        <w:rPr>
          <w:rFonts w:hint="eastAsia" w:ascii="宋体" w:hAnsi="宋体" w:eastAsia="宋体" w:cs="宋体"/>
          <w:sz w:val="21"/>
          <w:szCs w:val="21"/>
          <w:highlight w:val="none"/>
          <w:lang w:val="zh-CN"/>
        </w:rPr>
        <w:t xml:space="preserve">份，甲方、乙方双方分别执 </w:t>
      </w:r>
      <w:r>
        <w:rPr>
          <w:rFonts w:hint="eastAsia" w:ascii="宋体" w:hAnsi="宋体" w:eastAsia="宋体" w:cs="宋体"/>
          <w:sz w:val="21"/>
          <w:szCs w:val="21"/>
          <w:highlight w:val="none"/>
          <w:u w:val="single"/>
          <w:lang w:val="zh-CN"/>
        </w:rPr>
        <w:t xml:space="preserve">  </w:t>
      </w:r>
      <w:r>
        <w:rPr>
          <w:rFonts w:hint="eastAsia" w:ascii="宋体" w:hAnsi="宋体" w:eastAsia="宋体" w:cs="宋体"/>
          <w:sz w:val="21"/>
          <w:szCs w:val="21"/>
          <w:highlight w:val="none"/>
          <w:lang w:val="zh-CN"/>
        </w:rPr>
        <w:t>份，</w:t>
      </w:r>
      <w:r>
        <w:rPr>
          <w:rFonts w:hint="eastAsia" w:ascii="宋体" w:hAnsi="宋体" w:eastAsia="宋体" w:cs="宋体"/>
          <w:sz w:val="21"/>
          <w:szCs w:val="21"/>
          <w:highlight w:val="none"/>
          <w:u w:val="single"/>
          <w:lang w:val="zh-CN"/>
        </w:rPr>
        <w:t xml:space="preserve">   </w:t>
      </w:r>
      <w:r>
        <w:rPr>
          <w:rFonts w:hint="eastAsia" w:ascii="宋体" w:hAnsi="宋体" w:eastAsia="宋体" w:cs="宋体"/>
          <w:sz w:val="21"/>
          <w:szCs w:val="21"/>
          <w:highlight w:val="none"/>
          <w:lang w:val="zh-CN"/>
        </w:rPr>
        <w:t>备案</w:t>
      </w:r>
      <w:r>
        <w:rPr>
          <w:rFonts w:hint="eastAsia" w:ascii="宋体" w:hAnsi="宋体" w:eastAsia="宋体" w:cs="宋体"/>
          <w:sz w:val="21"/>
          <w:szCs w:val="21"/>
          <w:highlight w:val="none"/>
          <w:u w:val="single"/>
          <w:lang w:val="zh-CN"/>
        </w:rPr>
        <w:t xml:space="preserve">  </w:t>
      </w:r>
      <w:r>
        <w:rPr>
          <w:rFonts w:hint="eastAsia" w:ascii="宋体" w:hAnsi="宋体" w:eastAsia="宋体" w:cs="宋体"/>
          <w:sz w:val="21"/>
          <w:szCs w:val="21"/>
          <w:highlight w:val="none"/>
          <w:lang w:val="zh-CN"/>
        </w:rPr>
        <w:t>份。</w:t>
      </w:r>
    </w:p>
    <w:p w14:paraId="3AA4E7F0">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3、合同经甲乙双方盖章、签字后生效，合同签订地点为</w:t>
      </w:r>
      <w:r>
        <w:rPr>
          <w:rFonts w:hint="eastAsia" w:ascii="宋体" w:hAnsi="宋体" w:eastAsia="宋体" w:cs="宋体"/>
          <w:sz w:val="21"/>
          <w:szCs w:val="21"/>
          <w:highlight w:val="none"/>
          <w:u w:val="single"/>
          <w:lang w:val="zh-CN"/>
        </w:rPr>
        <w:t xml:space="preserve">         </w:t>
      </w:r>
      <w:r>
        <w:rPr>
          <w:rFonts w:hint="eastAsia" w:ascii="宋体" w:hAnsi="宋体" w:eastAsia="宋体" w:cs="宋体"/>
          <w:sz w:val="21"/>
          <w:szCs w:val="21"/>
          <w:highlight w:val="none"/>
          <w:lang w:val="zh-CN"/>
        </w:rPr>
        <w:t>。</w:t>
      </w:r>
    </w:p>
    <w:p w14:paraId="1A1AF54C">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4、生效时间：</w:t>
      </w:r>
      <w:r>
        <w:rPr>
          <w:rFonts w:hint="eastAsia" w:ascii="宋体" w:hAnsi="宋体" w:eastAsia="宋体" w:cs="宋体"/>
          <w:sz w:val="21"/>
          <w:szCs w:val="21"/>
          <w:highlight w:val="none"/>
          <w:u w:val="single"/>
          <w:lang w:val="zh-CN"/>
        </w:rPr>
        <w:t xml:space="preserve">   </w:t>
      </w:r>
      <w:r>
        <w:rPr>
          <w:rFonts w:hint="eastAsia" w:ascii="宋体" w:hAnsi="宋体" w:eastAsia="宋体" w:cs="宋体"/>
          <w:sz w:val="21"/>
          <w:szCs w:val="21"/>
          <w:highlight w:val="none"/>
          <w:lang w:val="zh-CN"/>
        </w:rPr>
        <w:t>年</w:t>
      </w:r>
      <w:r>
        <w:rPr>
          <w:rFonts w:hint="eastAsia" w:ascii="宋体" w:hAnsi="宋体" w:eastAsia="宋体" w:cs="宋体"/>
          <w:sz w:val="21"/>
          <w:szCs w:val="21"/>
          <w:highlight w:val="none"/>
          <w:u w:val="single"/>
          <w:lang w:val="zh-CN"/>
        </w:rPr>
        <w:t xml:space="preserve">   </w:t>
      </w:r>
      <w:r>
        <w:rPr>
          <w:rFonts w:hint="eastAsia" w:ascii="宋体" w:hAnsi="宋体" w:eastAsia="宋体" w:cs="宋体"/>
          <w:sz w:val="21"/>
          <w:szCs w:val="21"/>
          <w:highlight w:val="none"/>
          <w:lang w:val="zh-CN"/>
        </w:rPr>
        <w:t>月</w:t>
      </w:r>
      <w:r>
        <w:rPr>
          <w:rFonts w:hint="eastAsia" w:ascii="宋体" w:hAnsi="宋体" w:eastAsia="宋体" w:cs="宋体"/>
          <w:sz w:val="21"/>
          <w:szCs w:val="21"/>
          <w:highlight w:val="none"/>
          <w:u w:val="single"/>
          <w:lang w:val="zh-CN"/>
        </w:rPr>
        <w:t xml:space="preserve">   </w:t>
      </w:r>
      <w:r>
        <w:rPr>
          <w:rFonts w:hint="eastAsia" w:ascii="宋体" w:hAnsi="宋体" w:eastAsia="宋体" w:cs="宋体"/>
          <w:sz w:val="21"/>
          <w:szCs w:val="21"/>
          <w:highlight w:val="none"/>
          <w:lang w:val="zh-CN"/>
        </w:rPr>
        <w:t>日</w:t>
      </w:r>
    </w:p>
    <w:p w14:paraId="1153CDCE">
      <w:pPr>
        <w:adjustRightInd w:val="0"/>
        <w:snapToGrid w:val="0"/>
        <w:spacing w:line="360" w:lineRule="auto"/>
        <w:ind w:firstLine="420" w:firstLineChars="200"/>
        <w:rPr>
          <w:rFonts w:hint="eastAsia" w:ascii="宋体" w:hAnsi="宋体" w:eastAsia="宋体" w:cs="宋体"/>
          <w:sz w:val="21"/>
          <w:szCs w:val="21"/>
          <w:highlight w:val="none"/>
          <w:lang w:val="zh-CN"/>
        </w:rPr>
      </w:pPr>
    </w:p>
    <w:tbl>
      <w:tblPr>
        <w:tblStyle w:val="4"/>
        <w:tblW w:w="0" w:type="auto"/>
        <w:jc w:val="center"/>
        <w:tblLayout w:type="fixed"/>
        <w:tblCellMar>
          <w:top w:w="0" w:type="dxa"/>
          <w:left w:w="108" w:type="dxa"/>
          <w:bottom w:w="0" w:type="dxa"/>
          <w:right w:w="108" w:type="dxa"/>
        </w:tblCellMar>
      </w:tblPr>
      <w:tblGrid>
        <w:gridCol w:w="4643"/>
        <w:gridCol w:w="4643"/>
      </w:tblGrid>
      <w:tr w14:paraId="1C9E9604">
        <w:tblPrEx>
          <w:tblCellMar>
            <w:top w:w="0" w:type="dxa"/>
            <w:left w:w="108" w:type="dxa"/>
            <w:bottom w:w="0" w:type="dxa"/>
            <w:right w:w="108" w:type="dxa"/>
          </w:tblCellMar>
        </w:tblPrEx>
        <w:trPr>
          <w:jc w:val="center"/>
        </w:trPr>
        <w:tc>
          <w:tcPr>
            <w:tcW w:w="4643" w:type="dxa"/>
            <w:noWrap w:val="0"/>
            <w:vAlign w:val="top"/>
          </w:tcPr>
          <w:p w14:paraId="125964CC">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甲方名称（盖章）:</w:t>
            </w:r>
          </w:p>
          <w:p w14:paraId="2A8BA0AD">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地址：</w:t>
            </w:r>
          </w:p>
          <w:p w14:paraId="358838F8">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代表人（签字）：</w:t>
            </w:r>
          </w:p>
          <w:p w14:paraId="4FBF8E5B">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电话：</w:t>
            </w:r>
          </w:p>
          <w:p w14:paraId="48FC90DB">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开户银行：</w:t>
            </w:r>
          </w:p>
          <w:p w14:paraId="1F0CF556">
            <w:pPr>
              <w:adjustRightInd w:val="0"/>
              <w:snapToGrid w:val="0"/>
              <w:spacing w:line="360" w:lineRule="auto"/>
              <w:ind w:firstLine="420" w:firstLineChars="200"/>
              <w:rPr>
                <w:rFonts w:hint="eastAsia" w:ascii="宋体" w:hAnsi="宋体" w:eastAsia="宋体" w:cs="宋体"/>
                <w:sz w:val="21"/>
                <w:szCs w:val="21"/>
                <w:highlight w:val="none"/>
                <w:lang w:val="zh-CN"/>
              </w:rPr>
            </w:pPr>
          </w:p>
        </w:tc>
        <w:tc>
          <w:tcPr>
            <w:tcW w:w="4643" w:type="dxa"/>
            <w:noWrap w:val="0"/>
            <w:vAlign w:val="top"/>
          </w:tcPr>
          <w:p w14:paraId="1922A508">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乙方名称（盖章）:</w:t>
            </w:r>
          </w:p>
          <w:p w14:paraId="3BD9E039">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地址：</w:t>
            </w:r>
          </w:p>
          <w:p w14:paraId="09DCD6FD">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代表人（签字）：</w:t>
            </w:r>
          </w:p>
          <w:p w14:paraId="567F58FD">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电话：</w:t>
            </w:r>
          </w:p>
          <w:p w14:paraId="02E02C7A">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开户银行：</w:t>
            </w:r>
          </w:p>
          <w:p w14:paraId="4041EF3D">
            <w:pPr>
              <w:adjustRightInd w:val="0"/>
              <w:snapToGrid w:val="0"/>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en-US" w:eastAsia="zh-CN"/>
              </w:rPr>
              <w:t>账   号</w:t>
            </w:r>
            <w:r>
              <w:rPr>
                <w:rFonts w:hint="eastAsia" w:ascii="宋体" w:hAnsi="宋体" w:eastAsia="宋体" w:cs="宋体"/>
                <w:sz w:val="21"/>
                <w:szCs w:val="21"/>
                <w:highlight w:val="none"/>
                <w:lang w:val="zh-CN"/>
              </w:rPr>
              <w:t>：</w:t>
            </w:r>
          </w:p>
        </w:tc>
      </w:tr>
    </w:tbl>
    <w:p w14:paraId="24DC750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0897FD8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6275E35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1A0DD84D">
      <w:pPr>
        <w:rPr>
          <w:highlight w:val="none"/>
        </w:rPr>
      </w:pPr>
    </w:p>
    <w:p w14:paraId="1226A36E"/>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D2F2F">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819A1E">
                          <w:pPr>
                            <w:pStyle w:val="3"/>
                          </w:pPr>
                          <w:r>
                            <w:fldChar w:fldCharType="begin"/>
                          </w:r>
                          <w:r>
                            <w:instrText xml:space="preserve"> PAGE  \* MERGEFORMAT </w:instrText>
                          </w:r>
                          <w:r>
                            <w:fldChar w:fldCharType="separate"/>
                          </w:r>
                          <w:r>
                            <w:t>102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4819A1E">
                    <w:pPr>
                      <w:pStyle w:val="3"/>
                    </w:pPr>
                    <w:r>
                      <w:fldChar w:fldCharType="begin"/>
                    </w:r>
                    <w:r>
                      <w:instrText xml:space="preserve"> PAGE  \* MERGEFORMAT </w:instrText>
                    </w:r>
                    <w:r>
                      <w:fldChar w:fldCharType="separate"/>
                    </w:r>
                    <w:r>
                      <w:t>102</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FE881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5FE8816">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36A3B">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8A03CC">
                          <w:pPr>
                            <w:pStyle w:val="3"/>
                          </w:pPr>
                          <w:r>
                            <w:fldChar w:fldCharType="begin"/>
                          </w:r>
                          <w:r>
                            <w:instrText xml:space="preserve"> PAGE  \* MERGEFORMAT </w:instrText>
                          </w:r>
                          <w:r>
                            <w:fldChar w:fldCharType="separate"/>
                          </w:r>
                          <w:r>
                            <w:t>102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C8A03CC">
                    <w:pPr>
                      <w:pStyle w:val="3"/>
                    </w:pPr>
                    <w:r>
                      <w:fldChar w:fldCharType="begin"/>
                    </w:r>
                    <w:r>
                      <w:instrText xml:space="preserve"> PAGE  \* MERGEFORMAT </w:instrText>
                    </w:r>
                    <w:r>
                      <w:fldChar w:fldCharType="separate"/>
                    </w:r>
                    <w:r>
                      <w:t>102</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9B2A2C">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69B2A2C">
                    <w:pPr>
                      <w:pStyle w:val="3"/>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34F7C3"/>
    <w:multiLevelType w:val="singleLevel"/>
    <w:tmpl w:val="3D34F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F51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2026-02-04T03:22:05Z</dcterms:created>
  <dc:creator>L</dc:creator>
  <cp:lastModifiedBy>WPS_1544074700</cp:lastModifiedBy>
  <dcterms:modified xsi:type="dcterms:W3CDTF">2026-02-04T03:23:09Z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eyJoZGlkIjoiYjUyMWY2MjhkMDY3ZmVmNjVmNTNmYjBkMDhkYTE4YWMiLCJ1c2VySWQiOiI0Mzk3ODY0MTQifQ==</vt:lpwstr>
  </property>
  <property fmtid="{D5CDD505-2E9C-101B-9397-08002B2CF9AE}" pid="4" name="ICV">
    <vt:lpwstr>C887258B3C64430689777058B9C519CA_12</vt:lpwstr>
  </property>
</Properties>
</file>