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4AA8FC">
      <w:pPr>
        <w:keepLines w:val="0"/>
        <w:pageBreakBefore w:val="0"/>
        <w:widowControl w:val="0"/>
        <w:numPr>
          <w:numId w:val="0"/>
        </w:numPr>
        <w:overflowPunct/>
        <w:bidi w:val="0"/>
        <w:spacing w:line="360" w:lineRule="auto"/>
        <w:jc w:val="center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一、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投标报价</w:t>
      </w:r>
    </w:p>
    <w:p w14:paraId="61754328">
      <w:pPr>
        <w:pStyle w:val="2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项目名称：</w:t>
      </w:r>
    </w:p>
    <w:p w14:paraId="47B7CB1C">
      <w:pPr>
        <w:rPr>
          <w:rFonts w:hint="default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3"/>
        <w:tblW w:w="8499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60"/>
        <w:gridCol w:w="2843"/>
        <w:gridCol w:w="1915"/>
        <w:gridCol w:w="1181"/>
      </w:tblGrid>
      <w:tr w14:paraId="0067D76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  <w:jc w:val="center"/>
        </w:trPr>
        <w:tc>
          <w:tcPr>
            <w:tcW w:w="2560" w:type="dxa"/>
            <w:noWrap w:val="0"/>
            <w:vAlign w:val="center"/>
          </w:tcPr>
          <w:p w14:paraId="00F196C6">
            <w:pPr>
              <w:spacing w:line="480" w:lineRule="exact"/>
              <w:ind w:left="210" w:leftChars="100"/>
              <w:jc w:val="center"/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  <w:lang w:val="en-US" w:eastAsia="zh-CN"/>
              </w:rPr>
              <w:t>投标总报价</w:t>
            </w:r>
          </w:p>
          <w:p w14:paraId="37B34F3A">
            <w:pPr>
              <w:spacing w:line="480" w:lineRule="exact"/>
              <w:ind w:left="210" w:leftChars="100"/>
              <w:jc w:val="center"/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  <w:t>（人民币:元）</w:t>
            </w:r>
          </w:p>
        </w:tc>
        <w:tc>
          <w:tcPr>
            <w:tcW w:w="28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112A9B">
            <w:pPr>
              <w:spacing w:line="480" w:lineRule="exact"/>
              <w:ind w:left="210" w:leftChars="100"/>
              <w:jc w:val="center"/>
              <w:rPr>
                <w:rFonts w:hint="default" w:ascii="宋体" w:hAnsi="宋体" w:eastAsiaTheme="minorEastAsia"/>
                <w:b w:val="0"/>
                <w:bC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  <w:lang w:val="en-US" w:eastAsia="zh-CN"/>
              </w:rPr>
              <w:t>管理费费率</w:t>
            </w:r>
          </w:p>
        </w:tc>
        <w:tc>
          <w:tcPr>
            <w:tcW w:w="19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82D099">
            <w:pPr>
              <w:spacing w:line="480" w:lineRule="exact"/>
              <w:ind w:left="210" w:leftChars="100"/>
              <w:jc w:val="center"/>
              <w:rPr>
                <w:rFonts w:hint="default" w:ascii="宋体" w:hAnsi="宋体" w:eastAsiaTheme="minorEastAsia"/>
                <w:b w:val="0"/>
                <w:bC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  <w:lang w:val="en-US" w:eastAsia="zh-CN"/>
              </w:rPr>
              <w:t>服务期限</w:t>
            </w:r>
          </w:p>
        </w:tc>
        <w:tc>
          <w:tcPr>
            <w:tcW w:w="11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99A052">
            <w:pPr>
              <w:spacing w:line="480" w:lineRule="exact"/>
              <w:ind w:left="210" w:leftChars="100"/>
              <w:jc w:val="center"/>
              <w:rPr>
                <w:rFonts w:hint="default" w:ascii="宋体" w:hAnsi="宋体"/>
                <w:b w:val="0"/>
                <w:bCs/>
                <w:color w:val="auto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E5AD13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2560" w:type="dxa"/>
            <w:noWrap w:val="0"/>
            <w:vAlign w:val="center"/>
          </w:tcPr>
          <w:p w14:paraId="3A5D933E">
            <w:pPr>
              <w:spacing w:line="480" w:lineRule="exact"/>
              <w:ind w:left="210" w:leftChars="100"/>
              <w:jc w:val="center"/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284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667519">
            <w:pPr>
              <w:spacing w:line="480" w:lineRule="exact"/>
              <w:ind w:left="210" w:leftChars="100"/>
              <w:jc w:val="center"/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人员应发工资的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highlight w:val="none"/>
                <w:u w:val="none"/>
                <w:lang w:val="en-US" w:eastAsia="zh-CN"/>
              </w:rPr>
              <w:t>%</w:t>
            </w:r>
          </w:p>
        </w:tc>
        <w:tc>
          <w:tcPr>
            <w:tcW w:w="191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6C766E">
            <w:pPr>
              <w:spacing w:line="480" w:lineRule="exact"/>
              <w:ind w:left="210" w:leftChars="100"/>
              <w:jc w:val="center"/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  <w:tc>
          <w:tcPr>
            <w:tcW w:w="1181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288A0">
            <w:pPr>
              <w:spacing w:line="480" w:lineRule="exact"/>
              <w:ind w:left="210" w:leftChars="100"/>
              <w:jc w:val="center"/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</w:pPr>
          </w:p>
        </w:tc>
      </w:tr>
      <w:tr w14:paraId="1092A9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5" w:hRule="atLeast"/>
          <w:jc w:val="center"/>
        </w:trPr>
        <w:tc>
          <w:tcPr>
            <w:tcW w:w="8499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 w14:paraId="5AE693B6">
            <w:pPr>
              <w:spacing w:line="480" w:lineRule="exact"/>
              <w:ind w:left="210" w:leftChars="100"/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  <w:lang w:val="en-US" w:eastAsia="zh-CN"/>
              </w:rPr>
              <w:t>投标总报价</w:t>
            </w:r>
            <w:r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  <w:t>（大写）</w:t>
            </w:r>
            <w:r>
              <w:rPr>
                <w:rFonts w:hint="eastAsia" w:ascii="宋体" w:hAnsi="宋体"/>
                <w:b w:val="0"/>
                <w:bCs/>
                <w:color w:val="auto"/>
                <w:szCs w:val="24"/>
                <w:highlight w:val="none"/>
                <w:lang w:eastAsia="zh-CN"/>
              </w:rPr>
              <w:t>：</w:t>
            </w:r>
            <w:r>
              <w:rPr>
                <w:rFonts w:ascii="宋体" w:hAnsi="宋体"/>
                <w:b w:val="0"/>
                <w:bCs/>
                <w:color w:val="auto"/>
                <w:szCs w:val="24"/>
                <w:highlight w:val="none"/>
              </w:rPr>
              <w:t xml:space="preserve">                         </w:t>
            </w:r>
          </w:p>
        </w:tc>
      </w:tr>
    </w:tbl>
    <w:p w14:paraId="2E75FCFA">
      <w:pPr>
        <w:spacing w:line="480" w:lineRule="exact"/>
        <w:ind w:left="210" w:leftChars="100" w:firstLine="422" w:firstLineChars="200"/>
        <w:rPr>
          <w:rFonts w:hint="eastAsia" w:ascii="宋体" w:hAnsi="宋体" w:cs="宋体"/>
          <w:b/>
          <w:bCs/>
          <w:color w:val="auto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Cs w:val="24"/>
          <w:highlight w:val="none"/>
        </w:rPr>
        <w:t>注：</w:t>
      </w:r>
    </w:p>
    <w:p w14:paraId="0B1F2429">
      <w:pPr>
        <w:spacing w:line="480" w:lineRule="exact"/>
        <w:ind w:left="210" w:leftChars="100" w:firstLine="422" w:firstLineChars="200"/>
        <w:rPr>
          <w:rFonts w:hint="eastAsia" w:ascii="宋体" w:hAnsi="宋体" w:cs="宋体" w:eastAsiaTheme="minorEastAsia"/>
          <w:b/>
          <w:bCs/>
          <w:color w:val="auto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Cs w:val="24"/>
          <w:highlight w:val="none"/>
        </w:rPr>
        <w:t>.投标</w:t>
      </w:r>
      <w:r>
        <w:rPr>
          <w:rFonts w:hint="eastAsia" w:ascii="宋体" w:hAnsi="宋体" w:cs="宋体"/>
          <w:b/>
          <w:bCs/>
          <w:color w:val="auto"/>
          <w:szCs w:val="24"/>
          <w:highlight w:val="none"/>
          <w:lang w:val="en-US" w:eastAsia="zh-CN"/>
        </w:rPr>
        <w:t>总</w:t>
      </w:r>
      <w:r>
        <w:rPr>
          <w:rFonts w:hint="eastAsia" w:ascii="宋体" w:hAnsi="宋体" w:cs="宋体"/>
          <w:b/>
          <w:bCs/>
          <w:color w:val="auto"/>
          <w:szCs w:val="24"/>
          <w:highlight w:val="none"/>
        </w:rPr>
        <w:t>报价=</w:t>
      </w:r>
      <w:r>
        <w:rPr>
          <w:rFonts w:hint="eastAsia" w:ascii="宋体" w:hAnsi="宋体" w:cs="宋体"/>
          <w:b/>
          <w:bCs/>
          <w:color w:val="auto"/>
          <w:szCs w:val="24"/>
          <w:highlight w:val="none"/>
          <w:lang w:val="en-US" w:eastAsia="zh-CN"/>
        </w:rPr>
        <w:t>项目</w:t>
      </w:r>
      <w:r>
        <w:rPr>
          <w:rFonts w:hint="eastAsia" w:ascii="宋体" w:hAnsi="宋体" w:cs="宋体"/>
          <w:b/>
          <w:bCs/>
          <w:color w:val="auto"/>
          <w:szCs w:val="24"/>
          <w:highlight w:val="none"/>
        </w:rPr>
        <w:t>预算*管理费费率，精确到小数点后两位，大小写不一致时，以大写为准；</w:t>
      </w:r>
      <w:r>
        <w:rPr>
          <w:rFonts w:hint="eastAsia" w:ascii="宋体" w:hAnsi="宋体" w:cs="宋体"/>
          <w:b/>
          <w:bCs/>
          <w:color w:val="FF0000"/>
          <w:szCs w:val="24"/>
          <w:highlight w:val="none"/>
        </w:rPr>
        <w:t>投标</w:t>
      </w:r>
      <w:r>
        <w:rPr>
          <w:rFonts w:hint="eastAsia" w:ascii="宋体" w:hAnsi="宋体" w:cs="宋体"/>
          <w:b/>
          <w:bCs/>
          <w:color w:val="FF0000"/>
          <w:szCs w:val="24"/>
          <w:highlight w:val="none"/>
          <w:lang w:val="en-US" w:eastAsia="zh-CN"/>
        </w:rPr>
        <w:t>总</w:t>
      </w:r>
      <w:r>
        <w:rPr>
          <w:rFonts w:hint="eastAsia" w:ascii="宋体" w:hAnsi="宋体" w:cs="宋体"/>
          <w:b/>
          <w:bCs/>
          <w:color w:val="FF0000"/>
          <w:szCs w:val="24"/>
          <w:highlight w:val="none"/>
        </w:rPr>
        <w:t>报价仅作为报价分评审依据，最终结算以管理费费率为准</w:t>
      </w:r>
      <w:r>
        <w:rPr>
          <w:rFonts w:hint="eastAsia" w:ascii="宋体" w:hAnsi="宋体" w:cs="宋体"/>
          <w:b/>
          <w:bCs/>
          <w:color w:val="FF0000"/>
          <w:szCs w:val="24"/>
          <w:highlight w:val="none"/>
          <w:lang w:eastAsia="zh-CN"/>
        </w:rPr>
        <w:t>。</w:t>
      </w:r>
    </w:p>
    <w:p w14:paraId="38D63B1B">
      <w:pPr>
        <w:spacing w:line="480" w:lineRule="exact"/>
        <w:ind w:left="210" w:leftChars="100" w:firstLine="422" w:firstLineChars="200"/>
        <w:rPr>
          <w:rFonts w:hint="eastAsia" w:ascii="宋体" w:hAnsi="宋体" w:cs="宋体"/>
          <w:b/>
          <w:bCs/>
          <w:color w:val="FF0000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FF0000"/>
          <w:szCs w:val="24"/>
          <w:highlight w:val="none"/>
          <w:lang w:val="en-US" w:eastAsia="zh-CN"/>
        </w:rPr>
        <w:t>2.投标人在编制“标的清单附件”/“分项报价表”时数量填写1；单价填写金额=本项目预算*管理费费率。</w:t>
      </w:r>
    </w:p>
    <w:p w14:paraId="2844A69A">
      <w:pPr>
        <w:spacing w:before="120" w:beforeLines="50" w:line="200" w:lineRule="exact"/>
        <w:ind w:firstLine="632" w:firstLineChars="300"/>
        <w:jc w:val="left"/>
        <w:rPr>
          <w:rFonts w:hint="default" w:ascii="宋体" w:hAnsi="宋体" w:eastAsia="宋体"/>
          <w:szCs w:val="21"/>
          <w:highlight w:val="green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Cs w:val="24"/>
          <w:highlight w:val="green"/>
          <w:lang w:val="en-US" w:eastAsia="zh-CN"/>
        </w:rPr>
        <w:t>3.管</w:t>
      </w:r>
      <w:r>
        <w:rPr>
          <w:rFonts w:hint="eastAsia" w:ascii="宋体" w:hAnsi="宋体"/>
          <w:b/>
          <w:bCs/>
          <w:szCs w:val="21"/>
          <w:highlight w:val="green"/>
          <w:lang w:val="en-US" w:eastAsia="zh-CN"/>
        </w:rPr>
        <w:t>理费费率不得高于人员应发工资的10%</w:t>
      </w:r>
      <w:r>
        <w:rPr>
          <w:rFonts w:hint="eastAsia" w:ascii="宋体" w:hAnsi="宋体"/>
          <w:szCs w:val="21"/>
          <w:highlight w:val="green"/>
          <w:lang w:val="en-US" w:eastAsia="zh-CN"/>
        </w:rPr>
        <w:t>，</w:t>
      </w:r>
      <w:r>
        <w:rPr>
          <w:rFonts w:hint="eastAsia" w:ascii="宋体" w:hAnsi="宋体"/>
          <w:b/>
          <w:bCs/>
          <w:szCs w:val="21"/>
          <w:highlight w:val="green"/>
          <w:lang w:val="en-US" w:eastAsia="zh-CN"/>
        </w:rPr>
        <w:t>超过10%按无效标处理</w:t>
      </w:r>
      <w:r>
        <w:rPr>
          <w:rFonts w:hint="eastAsia" w:ascii="宋体" w:hAnsi="宋体"/>
          <w:szCs w:val="21"/>
          <w:highlight w:val="green"/>
          <w:lang w:val="en-US" w:eastAsia="zh-CN"/>
        </w:rPr>
        <w:t>。</w:t>
      </w:r>
    </w:p>
    <w:p w14:paraId="60C031E6">
      <w:pPr>
        <w:spacing w:line="480" w:lineRule="exact"/>
        <w:ind w:left="210" w:leftChars="100" w:firstLine="422" w:firstLineChars="200"/>
        <w:rPr>
          <w:rFonts w:hint="default" w:ascii="宋体" w:hAnsi="宋体" w:cs="宋体"/>
          <w:b/>
          <w:bCs/>
          <w:color w:val="auto"/>
          <w:szCs w:val="24"/>
          <w:highlight w:val="none"/>
          <w:lang w:val="en-US" w:eastAsia="zh-CN"/>
        </w:rPr>
      </w:pPr>
    </w:p>
    <w:p w14:paraId="655B8D92">
      <w:pPr>
        <w:keepLines w:val="0"/>
        <w:pageBreakBefore w:val="0"/>
        <w:widowControl w:val="0"/>
        <w:numPr>
          <w:ilvl w:val="0"/>
          <w:numId w:val="0"/>
        </w:numPr>
        <w:overflowPunct/>
        <w:bidi w:val="0"/>
        <w:spacing w:line="360" w:lineRule="auto"/>
        <w:jc w:val="center"/>
        <w:rPr>
          <w:rFonts w:hint="default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5AEDF98E">
      <w:pPr>
        <w:keepLines w:val="0"/>
        <w:pageBreakBefore w:val="0"/>
        <w:widowControl w:val="0"/>
        <w:numPr>
          <w:ilvl w:val="0"/>
          <w:numId w:val="0"/>
        </w:numPr>
        <w:overflowPunct/>
        <w:bidi w:val="0"/>
        <w:spacing w:line="360" w:lineRule="auto"/>
        <w:jc w:val="center"/>
        <w:rPr>
          <w:rFonts w:hint="default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24475CE8">
      <w:pPr>
        <w:keepLines w:val="0"/>
        <w:pageBreakBefore w:val="0"/>
        <w:widowControl w:val="0"/>
        <w:numPr>
          <w:ilvl w:val="0"/>
          <w:numId w:val="0"/>
        </w:numPr>
        <w:overflowPunct/>
        <w:bidi w:val="0"/>
        <w:spacing w:line="360" w:lineRule="auto"/>
        <w:jc w:val="center"/>
        <w:rPr>
          <w:rFonts w:hint="default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75BE9254">
      <w:pPr>
        <w:keepLines w:val="0"/>
        <w:pageBreakBefore w:val="0"/>
        <w:widowControl w:val="0"/>
        <w:numPr>
          <w:ilvl w:val="0"/>
          <w:numId w:val="0"/>
        </w:numPr>
        <w:overflowPunct/>
        <w:bidi w:val="0"/>
        <w:spacing w:line="360" w:lineRule="auto"/>
        <w:jc w:val="center"/>
        <w:rPr>
          <w:rFonts w:hint="default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332304FF">
      <w:pPr>
        <w:keepLines w:val="0"/>
        <w:pageBreakBefore w:val="0"/>
        <w:widowControl w:val="0"/>
        <w:numPr>
          <w:ilvl w:val="0"/>
          <w:numId w:val="0"/>
        </w:numPr>
        <w:overflowPunct/>
        <w:bidi w:val="0"/>
        <w:spacing w:line="360" w:lineRule="auto"/>
        <w:jc w:val="center"/>
        <w:rPr>
          <w:rFonts w:hint="default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1D1FFC07">
      <w:pPr>
        <w:keepLines w:val="0"/>
        <w:pageBreakBefore w:val="0"/>
        <w:widowControl w:val="0"/>
        <w:numPr>
          <w:ilvl w:val="0"/>
          <w:numId w:val="0"/>
        </w:numPr>
        <w:overflowPunct/>
        <w:bidi w:val="0"/>
        <w:spacing w:line="360" w:lineRule="auto"/>
        <w:jc w:val="center"/>
        <w:rPr>
          <w:rFonts w:hint="default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098CED84">
      <w:pPr>
        <w:keepLines w:val="0"/>
        <w:pageBreakBefore w:val="0"/>
        <w:widowControl w:val="0"/>
        <w:numPr>
          <w:ilvl w:val="0"/>
          <w:numId w:val="0"/>
        </w:numPr>
        <w:overflowPunct/>
        <w:bidi w:val="0"/>
        <w:spacing w:line="360" w:lineRule="auto"/>
        <w:jc w:val="center"/>
        <w:rPr>
          <w:rFonts w:hint="default" w:ascii="仿宋" w:hAnsi="仿宋" w:eastAsia="仿宋" w:cs="仿宋"/>
          <w:color w:val="auto"/>
          <w:spacing w:val="4"/>
          <w:sz w:val="24"/>
          <w:szCs w:val="24"/>
          <w:highlight w:val="none"/>
          <w:lang w:val="en-US" w:eastAsia="zh-CN"/>
        </w:rPr>
      </w:pPr>
    </w:p>
    <w:p w14:paraId="7EE4F701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 xml:space="preserve">投标人名称（公章）:             </w:t>
      </w:r>
    </w:p>
    <w:p w14:paraId="4CCB3812">
      <w:pPr>
        <w:keepLines w:val="0"/>
        <w:pageBreakBefore w:val="0"/>
        <w:wordWrap/>
        <w:overflowPunct/>
        <w:topLinePunct w:val="0"/>
        <w:bidi w:val="0"/>
        <w:spacing w:line="360" w:lineRule="auto"/>
        <w:textAlignment w:val="auto"/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法定代表人/被授权人（签字或盖章）：</w:t>
      </w:r>
    </w:p>
    <w:p w14:paraId="77439AFF">
      <w:pPr>
        <w:keepLines w:val="0"/>
        <w:pageBreakBefore w:val="0"/>
        <w:widowControl w:val="0"/>
        <w:numPr>
          <w:ilvl w:val="0"/>
          <w:numId w:val="0"/>
        </w:numPr>
        <w:overflowPunct/>
        <w:bidi w:val="0"/>
        <w:spacing w:line="360" w:lineRule="auto"/>
        <w:jc w:val="both"/>
      </w:pPr>
      <w:r>
        <w:rPr>
          <w:rFonts w:hint="eastAsia" w:ascii="仿宋" w:hAnsi="仿宋" w:eastAsia="仿宋" w:cs="仿宋"/>
          <w:color w:val="auto"/>
          <w:spacing w:val="4"/>
          <w:sz w:val="20"/>
          <w:szCs w:val="20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cstheme="minorEastAsia"/>
          <w:color w:val="auto"/>
          <w:spacing w:val="4"/>
          <w:sz w:val="24"/>
          <w:szCs w:val="24"/>
          <w:highlight w:val="none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2A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2026-02-04T03:12:20Z</dcterms:created>
  <dc:creator>L</dc:creator>
  <cp:lastModifiedBy>WPS_1544074700</cp:lastModifiedBy>
  <dcterms:modified xsi:type="dcterms:W3CDTF">2026-02-04T03:15:51Z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eyJoZGlkIjoiYjUyMWY2MjhkMDY3ZmVmNjVmNTNmYjBkMDhkYTE4YWMiLCJ1c2VySWQiOiI0Mzk3ODY0MTQifQ==</vt:lpwstr>
  </property>
  <property fmtid="{D5CDD505-2E9C-101B-9397-08002B2CF9AE}" pid="4" name="ICV">
    <vt:lpwstr>A60239D7485F4D95B6D1CC3D8A22A6F2_12</vt:lpwstr>
  </property>
</Properties>
</file>