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版本号：ZJZC2025112500520260312001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西安市雁塔区沣经三路南段考古发掘劳务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ZJZC20251125005</w:t>
      </w:r>
      <w:r>
        <w:br/>
      </w:r>
      <w:r>
        <w:br/>
      </w:r>
      <w:r>
        <w:br/>
      </w:r>
    </w:p>
    <w:p>
      <w:pPr>
        <w:pStyle w:val="null3"/>
        <w:jc w:val="center"/>
        <w:outlineLvl w:val="2"/>
      </w:pPr>
      <w:r>
        <w:rPr>
          <w:rFonts w:ascii="仿宋_GB2312" w:hAnsi="仿宋_GB2312" w:cs="仿宋_GB2312" w:eastAsia="仿宋_GB2312"/>
          <w:sz w:val="28"/>
          <w:b/>
        </w:rPr>
        <w:t>西安市雁塔区住房和城乡建设局</w:t>
      </w:r>
    </w:p>
    <w:p>
      <w:pPr>
        <w:pStyle w:val="null3"/>
        <w:jc w:val="center"/>
        <w:outlineLvl w:val="2"/>
      </w:pPr>
      <w:r>
        <w:rPr>
          <w:rFonts w:ascii="仿宋_GB2312" w:hAnsi="仿宋_GB2312" w:cs="仿宋_GB2312" w:eastAsia="仿宋_GB2312"/>
          <w:sz w:val="28"/>
          <w:b/>
        </w:rPr>
        <w:t>中建华阳建设项目管理有限责任公司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中建华阳建设项目管理有限责任公司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西安市雁塔区住房和城乡建设局</w:t>
      </w:r>
      <w:r>
        <w:rPr>
          <w:rFonts w:ascii="仿宋_GB2312" w:hAnsi="仿宋_GB2312" w:cs="仿宋_GB2312" w:eastAsia="仿宋_GB2312"/>
        </w:rPr>
        <w:t>委托，拟对</w:t>
      </w:r>
      <w:r>
        <w:rPr>
          <w:rFonts w:ascii="仿宋_GB2312" w:hAnsi="仿宋_GB2312" w:cs="仿宋_GB2312" w:eastAsia="仿宋_GB2312"/>
        </w:rPr>
        <w:t>西安市雁塔区沣经三路南段考古发掘劳务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ZJZC20251125005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西安市雁塔区沣经三路南段考古发掘劳务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雁塔区沣经三路南段考古发掘劳务项目（又称为“西安市雁塔区沣经三路(樱花二路-雁长界)道路项目考古发掘劳务项目”），位于陕西省西安市雁塔区杜城街道，北侧为樱花二路，西侧为居安路，南侧为樱花一路。经考古勘探发现墓葬13座。供应商根据《雁塔区沣经三路（樱花二路-雁长界）道路项目考古勘探工作报告》，共发现的墓葬13座组织考古发掘及出土文物现场保护等工作，协助项目考古发掘技术单位完成《雁塔区沣经三路（樱花二路-雁长界）道路项目考古发掘工作报告》，并为考古发掘提供文物发掘保护、看护、配合发掘清理中的民工劳务工作。具体内容详见本项目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采购包1（西安市雁塔区沣经三路南段考古发掘劳务）：属于专门面向中小企业采购。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w:t>
      </w:r>
    </w:p>
    <w:p>
      <w:pPr>
        <w:pStyle w:val="null3"/>
      </w:pPr>
      <w:r>
        <w:rPr>
          <w:rFonts w:ascii="仿宋_GB2312" w:hAnsi="仿宋_GB2312" w:cs="仿宋_GB2312" w:eastAsia="仿宋_GB2312"/>
        </w:rPr>
        <w:t>2、财务状况报告：提供2025年度或2024年度经审计的财务报（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4、社保缴纳证明：提供递交响应文件截止之日前一年内任意一个月的社会保障资金缴存单据或社保机构开具的社会保险参保缴费情况证明。依法不需要缴纳社会保障资金的供应商应提供相关文件证明。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税收缴纳证明：提供递交响应文件截止之日前一年内任意一个月的依法缴纳税收的相关凭据（时间以税款所属日期为准、税种至少包含增值税或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6、近三年无重大违法、违纪书面声明：提供《近三年无重大违法、违纪书面声明》。</w:t>
      </w:r>
    </w:p>
    <w:p>
      <w:pPr>
        <w:pStyle w:val="null3"/>
      </w:pPr>
      <w:r>
        <w:rPr>
          <w:rFonts w:ascii="仿宋_GB2312" w:hAnsi="仿宋_GB2312" w:cs="仿宋_GB2312" w:eastAsia="仿宋_GB2312"/>
        </w:rPr>
        <w:t>7、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8、控股管理关系：提供直接控股和管理关系清单。若与其他供应商存在单位负责人为同一人或者存在直接控股、管理关系的，则响应无效。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9、法定代表人授权委托书：法定代表人参加磋商的，须提供本人身份证复印件（附在资格证明文件中）；法定代表人授 权他人参加磋商的，须提供法定代表人授权委托书。磋商文件中凡是需要法定代表人盖章之处，非法人单位的负责人均参照执行。法人的分支机构参与磋商时，除提供《法定代表人授权委托书》外，还须同时提供法人给分支机构出具的授权书。</w:t>
      </w:r>
    </w:p>
    <w:p>
      <w:pPr>
        <w:pStyle w:val="null3"/>
      </w:pPr>
      <w:r>
        <w:rPr>
          <w:rFonts w:ascii="仿宋_GB2312" w:hAnsi="仿宋_GB2312" w:cs="仿宋_GB2312" w:eastAsia="仿宋_GB2312"/>
        </w:rPr>
        <w:t>10、本项目不接受联合体磋商，不允许分包：供应商应提供《非联合体不分包磋商声明》，视为独立磋商，不分包。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西安市翠华路146号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西安市雁塔区住房和城乡建设局经办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029-83692920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中建华阳建设项目管理有限责任公司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陕西省西安市新城区陕西省西安市新城区长乐中路242号金花新都汇A座写字楼24层06室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董喜峰、裴慢慢、孙晓梅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15102971384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招标代理服务收费管理暂行办法》的通知（计价格[2002]1980号）文件、发改价格[2011]534号文件及国家发改委印发的《关于进一步放开建设项目专业服务价格的通知》[2015]299号文件的收取标准计取，不足6000.00元按6000.00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西安市雁塔区住房和城乡建设局</w:t>
      </w:r>
      <w:r>
        <w:rPr>
          <w:rFonts w:ascii="仿宋_GB2312" w:hAnsi="仿宋_GB2312" w:cs="仿宋_GB2312" w:eastAsia="仿宋_GB2312"/>
        </w:rPr>
        <w:t>和</w:t>
      </w:r>
      <w:r>
        <w:rPr>
          <w:rFonts w:ascii="仿宋_GB2312" w:hAnsi="仿宋_GB2312" w:cs="仿宋_GB2312" w:eastAsia="仿宋_GB2312"/>
        </w:rPr>
        <w:t>中建华阳建设项目管理有限责任公司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中建华阳建设项目管理有限责任公司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中建华阳建设项目管理有限责任公司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符合国家、省、市及行业规定相关要求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中建华阳建设项目管理有限责任公司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中建华阳建设项目管理有限责任公司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中建华阳建设项目管理有限责任公司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联系人：董喜峰、裴慢慢、孙晓梅</w:t>
      </w:r>
    </w:p>
    <w:p>
      <w:pPr>
        <w:pStyle w:val="null3"/>
      </w:pPr>
      <w:r>
        <w:rPr>
          <w:rFonts w:ascii="仿宋_GB2312" w:hAnsi="仿宋_GB2312" w:cs="仿宋_GB2312" w:eastAsia="仿宋_GB2312"/>
        </w:rPr>
        <w:t>联系电话：15102971384</w:t>
      </w:r>
    </w:p>
    <w:p>
      <w:pPr>
        <w:pStyle w:val="null3"/>
      </w:pPr>
      <w:r>
        <w:rPr>
          <w:rFonts w:ascii="仿宋_GB2312" w:hAnsi="仿宋_GB2312" w:cs="仿宋_GB2312" w:eastAsia="仿宋_GB2312"/>
        </w:rPr>
        <w:t>地址：陕西省西安市新城区长乐中路242号金花新都汇A座写字楼24层06室</w:t>
      </w:r>
    </w:p>
    <w:p>
      <w:pPr>
        <w:pStyle w:val="null3"/>
      </w:pPr>
      <w:r>
        <w:rPr>
          <w:rFonts w:ascii="仿宋_GB2312" w:hAnsi="仿宋_GB2312" w:cs="仿宋_GB2312" w:eastAsia="仿宋_GB2312"/>
        </w:rPr>
        <w:t>邮编：710032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雁塔区沣经三路南段考古发掘劳务项目（又称为“西安市雁塔区沣经三路(樱花二路-雁长界)道路项目考古发掘劳务项目”），位于陕西省西安市雁塔区杜城街道，北侧为樱花二路，西侧为居安路，南侧为樱花一路。经考古勘探发现墓葬13座。供应商根据《雁塔区沣经三路（樱花二路-雁长界）道路项目考古勘探工作报告》，共发现的墓葬13座组织考古发掘及出土文物现场保护等工作，协助项目考古发掘技术单位完成《雁塔区沣经三路（樱花二路-雁长界）道路项目考古发掘工作报告》，并为考古发掘提供文物发掘保护、看护、配合发掘清理中的民工劳务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320,000.00</w:t>
      </w:r>
    </w:p>
    <w:p>
      <w:pPr>
        <w:pStyle w:val="null3"/>
      </w:pPr>
      <w:r>
        <w:rPr>
          <w:rFonts w:ascii="仿宋_GB2312" w:hAnsi="仿宋_GB2312" w:cs="仿宋_GB2312" w:eastAsia="仿宋_GB2312"/>
        </w:rPr>
        <w:t>采购包最高限价（元）: 320,000.00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西安市雁塔区沣经三路南段考古发掘劳务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标的名称：西安市雁塔区沣经三路南段考古发掘劳务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pPr>
            <w:r>
              <w:rPr>
                <w:rFonts w:ascii="仿宋_GB2312" w:hAnsi="仿宋_GB2312" w:cs="仿宋_GB2312" w:eastAsia="仿宋_GB2312"/>
                <w:b/>
              </w:rPr>
              <w:t>一、采购内容</w:t>
            </w:r>
          </w:p>
          <w:p>
            <w:pPr>
              <w:pStyle w:val="null3"/>
              <w:ind w:firstLine="400"/>
            </w:pPr>
            <w:r>
              <w:rPr>
                <w:rFonts w:ascii="仿宋_GB2312" w:hAnsi="仿宋_GB2312" w:cs="仿宋_GB2312" w:eastAsia="仿宋_GB2312"/>
              </w:rPr>
              <w:t>西安市雁塔区沣经三路南段考古发掘劳务</w:t>
            </w:r>
            <w:r>
              <w:rPr>
                <w:rFonts w:ascii="仿宋_GB2312" w:hAnsi="仿宋_GB2312" w:cs="仿宋_GB2312" w:eastAsia="仿宋_GB2312"/>
              </w:rPr>
              <w:t>项目（又称</w:t>
            </w:r>
            <w:r>
              <w:rPr>
                <w:rFonts w:ascii="仿宋_GB2312" w:hAnsi="仿宋_GB2312" w:cs="仿宋_GB2312" w:eastAsia="仿宋_GB2312"/>
              </w:rPr>
              <w:t>“西安市雁塔区沣经三路(樱花二路-雁长界)道路项目考古发掘劳务项目”），采购预算金额约32万元，本项目位于陕西省西安市雁塔区杜城街道，北侧为樱花二路，西侧为居安路，南侧为樱花一路。经考古勘探发现墓葬13座。</w:t>
            </w:r>
          </w:p>
          <w:p>
            <w:pPr>
              <w:pStyle w:val="null3"/>
              <w:ind w:left="405"/>
            </w:pPr>
            <w:r>
              <w:rPr>
                <w:rFonts w:ascii="仿宋_GB2312" w:hAnsi="仿宋_GB2312" w:cs="仿宋_GB2312" w:eastAsia="仿宋_GB2312"/>
              </w:rPr>
              <w:t>四至坐标：</w:t>
            </w:r>
            <w:r>
              <w:br/>
            </w:r>
            <w:r>
              <w:rPr>
                <w:rFonts w:ascii="仿宋_GB2312" w:hAnsi="仿宋_GB2312" w:cs="仿宋_GB2312" w:eastAsia="仿宋_GB2312"/>
              </w:rPr>
              <w:t>西北角坐标：</w:t>
            </w:r>
            <w:r>
              <w:rPr>
                <w:rFonts w:ascii="仿宋_GB2312" w:hAnsi="仿宋_GB2312" w:cs="仿宋_GB2312" w:eastAsia="仿宋_GB2312"/>
              </w:rPr>
              <w:t>X=3782504.290  Y=36581319.666</w:t>
            </w:r>
          </w:p>
          <w:p>
            <w:pPr>
              <w:pStyle w:val="null3"/>
              <w:ind w:firstLine="400"/>
            </w:pPr>
            <w:r>
              <w:rPr>
                <w:rFonts w:ascii="仿宋_GB2312" w:hAnsi="仿宋_GB2312" w:cs="仿宋_GB2312" w:eastAsia="仿宋_GB2312"/>
              </w:rPr>
              <w:t>东北角坐标：</w:t>
            </w:r>
            <w:r>
              <w:rPr>
                <w:rFonts w:ascii="仿宋_GB2312" w:hAnsi="仿宋_GB2312" w:cs="仿宋_GB2312" w:eastAsia="仿宋_GB2312"/>
              </w:rPr>
              <w:t>X=3782504.868  Y=36581377.664</w:t>
            </w:r>
          </w:p>
          <w:p>
            <w:pPr>
              <w:pStyle w:val="null3"/>
              <w:ind w:firstLine="400"/>
            </w:pPr>
            <w:r>
              <w:rPr>
                <w:rFonts w:ascii="仿宋_GB2312" w:hAnsi="仿宋_GB2312" w:cs="仿宋_GB2312" w:eastAsia="仿宋_GB2312"/>
              </w:rPr>
              <w:t>西南角坐标：</w:t>
            </w:r>
            <w:r>
              <w:rPr>
                <w:rFonts w:ascii="仿宋_GB2312" w:hAnsi="仿宋_GB2312" w:cs="仿宋_GB2312" w:eastAsia="仿宋_GB2312"/>
              </w:rPr>
              <w:t>X=3782421.488  Y=36581329.524</w:t>
            </w:r>
          </w:p>
          <w:p>
            <w:pPr>
              <w:pStyle w:val="null3"/>
              <w:ind w:firstLine="400"/>
            </w:pPr>
            <w:r>
              <w:rPr>
                <w:rFonts w:ascii="仿宋_GB2312" w:hAnsi="仿宋_GB2312" w:cs="仿宋_GB2312" w:eastAsia="仿宋_GB2312"/>
              </w:rPr>
              <w:t>东南角坐标：</w:t>
            </w:r>
            <w:r>
              <w:rPr>
                <w:rFonts w:ascii="仿宋_GB2312" w:hAnsi="仿宋_GB2312" w:cs="仿宋_GB2312" w:eastAsia="仿宋_GB2312"/>
              </w:rPr>
              <w:t>X=3782421.678  Y=36581369.524</w:t>
            </w:r>
          </w:p>
          <w:p>
            <w:pPr>
              <w:pStyle w:val="null3"/>
              <w:ind w:firstLine="402"/>
            </w:pPr>
            <w:r>
              <w:rPr>
                <w:rFonts w:ascii="仿宋_GB2312" w:hAnsi="仿宋_GB2312" w:cs="仿宋_GB2312" w:eastAsia="仿宋_GB2312"/>
                <w:b/>
              </w:rPr>
              <w:t>二、</w:t>
            </w:r>
            <w:r>
              <w:rPr>
                <w:rFonts w:ascii="仿宋_GB2312" w:hAnsi="仿宋_GB2312" w:cs="仿宋_GB2312" w:eastAsia="仿宋_GB2312"/>
                <w:b/>
              </w:rPr>
              <w:t>服务内容</w:t>
            </w:r>
          </w:p>
          <w:p>
            <w:pPr>
              <w:pStyle w:val="null3"/>
              <w:ind w:firstLine="400"/>
            </w:pPr>
            <w:r>
              <w:rPr>
                <w:rFonts w:ascii="仿宋_GB2312" w:hAnsi="仿宋_GB2312" w:cs="仿宋_GB2312" w:eastAsia="仿宋_GB2312"/>
              </w:rPr>
              <w:t>西安市雁塔区沣经三路南段考古发掘劳务</w:t>
            </w:r>
            <w:r>
              <w:rPr>
                <w:rFonts w:ascii="仿宋_GB2312" w:hAnsi="仿宋_GB2312" w:cs="仿宋_GB2312" w:eastAsia="仿宋_GB2312"/>
              </w:rPr>
              <w:t>项目（又称</w:t>
            </w:r>
            <w:r>
              <w:rPr>
                <w:rFonts w:ascii="仿宋_GB2312" w:hAnsi="仿宋_GB2312" w:cs="仿宋_GB2312" w:eastAsia="仿宋_GB2312"/>
              </w:rPr>
              <w:t>“西安市雁塔区沣经三路(樱花二路-雁长界)道路项目考古发掘劳务项目”），供应商根据《雁塔区沣经三路（樱花二路-雁长界）道路项目考古勘探工作报告》，共发现的墓葬13座组织考古发掘及出土文物现场保护等工作，协助项目考古发掘技术单位完成《雁塔区沣经三路（樱花二路-雁长界）道路项目考古发掘工作报告》，并为考古发掘提供文物发掘保护、看护、配合发掘清理中的民工劳务工作。</w:t>
            </w:r>
          </w:p>
          <w:p>
            <w:pPr>
              <w:pStyle w:val="null3"/>
              <w:ind w:firstLine="402"/>
            </w:pPr>
            <w:r>
              <w:rPr>
                <w:rFonts w:ascii="仿宋_GB2312" w:hAnsi="仿宋_GB2312" w:cs="仿宋_GB2312" w:eastAsia="仿宋_GB2312"/>
                <w:b/>
              </w:rPr>
              <w:t>三、技术要求</w:t>
            </w:r>
          </w:p>
          <w:p>
            <w:pPr>
              <w:pStyle w:val="null3"/>
              <w:ind w:firstLine="400"/>
            </w:pPr>
            <w:r>
              <w:rPr>
                <w:rFonts w:ascii="仿宋_GB2312" w:hAnsi="仿宋_GB2312" w:cs="仿宋_GB2312" w:eastAsia="仿宋_GB2312"/>
              </w:rPr>
              <w:t>符合以下技术要求：</w:t>
            </w:r>
          </w:p>
          <w:p>
            <w:pPr>
              <w:pStyle w:val="null3"/>
              <w:ind w:firstLine="400"/>
            </w:pPr>
            <w:r>
              <w:rPr>
                <w:rFonts w:ascii="仿宋_GB2312" w:hAnsi="仿宋_GB2312" w:cs="仿宋_GB2312" w:eastAsia="仿宋_GB2312"/>
              </w:rPr>
              <w:t>1、《中华人民共和国文物保护法》；</w:t>
            </w:r>
          </w:p>
          <w:p>
            <w:pPr>
              <w:pStyle w:val="null3"/>
              <w:ind w:firstLine="400"/>
            </w:pPr>
            <w:r>
              <w:rPr>
                <w:rFonts w:ascii="仿宋_GB2312" w:hAnsi="仿宋_GB2312" w:cs="仿宋_GB2312" w:eastAsia="仿宋_GB2312"/>
              </w:rPr>
              <w:t>2、《中华人民共和国文物保护法实施条例》；</w:t>
            </w:r>
          </w:p>
          <w:p>
            <w:pPr>
              <w:pStyle w:val="null3"/>
              <w:ind w:firstLine="400"/>
            </w:pPr>
            <w:r>
              <w:rPr>
                <w:rFonts w:ascii="仿宋_GB2312" w:hAnsi="仿宋_GB2312" w:cs="仿宋_GB2312" w:eastAsia="仿宋_GB2312"/>
              </w:rPr>
              <w:t>3、《陕西省文物保护条例》；</w:t>
            </w:r>
          </w:p>
          <w:p>
            <w:pPr>
              <w:pStyle w:val="null3"/>
              <w:ind w:firstLine="400"/>
            </w:pPr>
            <w:r>
              <w:rPr>
                <w:rFonts w:ascii="仿宋_GB2312" w:hAnsi="仿宋_GB2312" w:cs="仿宋_GB2312" w:eastAsia="仿宋_GB2312"/>
              </w:rPr>
              <w:t>4、国家文物局颁布的《田野考古工作规程》；</w:t>
            </w:r>
          </w:p>
          <w:p>
            <w:pPr>
              <w:pStyle w:val="null3"/>
              <w:ind w:firstLine="400"/>
            </w:pPr>
            <w:r>
              <w:rPr>
                <w:rFonts w:ascii="仿宋_GB2312" w:hAnsi="仿宋_GB2312" w:cs="仿宋_GB2312" w:eastAsia="仿宋_GB2312"/>
              </w:rPr>
              <w:t>5、国家文物局【90】248号文件；</w:t>
            </w:r>
          </w:p>
          <w:p>
            <w:pPr>
              <w:pStyle w:val="null3"/>
              <w:ind w:firstLine="400"/>
            </w:pPr>
            <w:r>
              <w:rPr>
                <w:rFonts w:ascii="仿宋_GB2312" w:hAnsi="仿宋_GB2312" w:cs="仿宋_GB2312" w:eastAsia="仿宋_GB2312"/>
              </w:rPr>
              <w:t>6、陕文物发【2014】147号文件。</w:t>
            </w:r>
          </w:p>
          <w:p>
            <w:pPr>
              <w:pStyle w:val="null3"/>
              <w:ind w:firstLine="402"/>
            </w:pPr>
            <w:r>
              <w:rPr>
                <w:rFonts w:ascii="仿宋_GB2312" w:hAnsi="仿宋_GB2312" w:cs="仿宋_GB2312" w:eastAsia="仿宋_GB2312"/>
                <w:b/>
              </w:rPr>
              <w:t>四、服务要求</w:t>
            </w:r>
          </w:p>
          <w:p>
            <w:pPr>
              <w:pStyle w:val="null3"/>
              <w:ind w:firstLine="400"/>
            </w:pPr>
            <w:r>
              <w:rPr>
                <w:rFonts w:ascii="仿宋_GB2312" w:hAnsi="仿宋_GB2312" w:cs="仿宋_GB2312" w:eastAsia="仿宋_GB2312"/>
              </w:rPr>
              <w:t>（一）项目人员配备</w:t>
            </w:r>
          </w:p>
          <w:p>
            <w:pPr>
              <w:pStyle w:val="null3"/>
              <w:ind w:firstLine="400"/>
            </w:pPr>
            <w:r>
              <w:rPr>
                <w:rFonts w:ascii="仿宋_GB2312" w:hAnsi="仿宋_GB2312" w:cs="仿宋_GB2312" w:eastAsia="仿宋_GB2312"/>
              </w:rPr>
              <w:t>供应商须提供针对本项目的详细人员配备情况。要求项目人员具有考古发掘劳务服务工作经验。</w:t>
            </w:r>
          </w:p>
          <w:p>
            <w:pPr>
              <w:pStyle w:val="null3"/>
              <w:ind w:firstLine="400"/>
            </w:pPr>
            <w:r>
              <w:rPr>
                <w:rFonts w:ascii="仿宋_GB2312" w:hAnsi="仿宋_GB2312" w:cs="仿宋_GB2312" w:eastAsia="仿宋_GB2312"/>
              </w:rPr>
              <w:t>（二）具体服务要求</w:t>
            </w:r>
          </w:p>
          <w:p>
            <w:pPr>
              <w:pStyle w:val="null3"/>
              <w:ind w:firstLine="400"/>
            </w:pPr>
            <w:r>
              <w:rPr>
                <w:rFonts w:ascii="仿宋_GB2312" w:hAnsi="仿宋_GB2312" w:cs="仿宋_GB2312" w:eastAsia="仿宋_GB2312"/>
              </w:rPr>
              <w:t>1、考古发掘进场前，采购人负责清除现场植被，青苗补偿等，以便发掘工作施工前放线。供应商做好现场绿网覆盖等环境保护措施，以满足政府环境保护要求，排除可能干扰发掘工作的环境因素，以保证考古发掘工作的顺利进行。</w:t>
            </w:r>
          </w:p>
          <w:p>
            <w:pPr>
              <w:pStyle w:val="null3"/>
              <w:ind w:firstLine="400"/>
            </w:pPr>
            <w:r>
              <w:rPr>
                <w:rFonts w:ascii="仿宋_GB2312" w:hAnsi="仿宋_GB2312" w:cs="仿宋_GB2312" w:eastAsia="仿宋_GB2312"/>
              </w:rPr>
              <w:t>2、采购人协调当地各种关系，排除可能干扰发掘工作的各项人为因素，以保证考古发掘工作的顺利进行。供应商协助发掘技术单位对接相关部门现场检查、验收等工作。</w:t>
            </w:r>
          </w:p>
          <w:p>
            <w:pPr>
              <w:pStyle w:val="null3"/>
              <w:ind w:firstLine="400"/>
            </w:pPr>
            <w:r>
              <w:rPr>
                <w:rFonts w:ascii="仿宋_GB2312" w:hAnsi="仿宋_GB2312" w:cs="仿宋_GB2312" w:eastAsia="仿宋_GB2312"/>
              </w:rPr>
              <w:t>3、在文物发掘保护技术单位的指导下，供应商为考古发掘提供文物发掘保护、看护、配合发掘清理中的民工劳务工作。承担考古发掘所需的土方开挖和运输工程。作业过程中必须严格执行《中华人民共和国民法典》、《中华人民共和国文物保护法》以及国家文物局《田野考古工作规程》等有关法规，确保施工过程中古墓葬及地下文物不受破坏。科学发掘，精确记录，确保发掘质量。根据现场考古发掘的需要配备足够的民工、机械及现场管理人员，所有人员必须听从考古发掘现场负责人员的指挥，以满足现场文物发掘所需土方开挖、运输等工作。土方开挖运输后堆放场地需满足采购人要求。</w:t>
            </w:r>
          </w:p>
          <w:p>
            <w:pPr>
              <w:pStyle w:val="null3"/>
              <w:ind w:firstLine="400"/>
            </w:pPr>
            <w:r>
              <w:rPr>
                <w:rFonts w:ascii="仿宋_GB2312" w:hAnsi="仿宋_GB2312" w:cs="仿宋_GB2312" w:eastAsia="仿宋_GB2312"/>
              </w:rPr>
              <w:t>4、按照国家及行业对文物发掘现场的相关法律法规、行业规定，且在文物挖掘保护技术单位的指导下，承担考古发掘所需的安全保卫工作。在工地现场选取合适位置自行搭建安全保卫值班室，并自行负责现场考古发掘所需的临水、临电设施。在考古发掘区域四周设置围挡形成封闭的工作区域，并在工地四周及出入口设置安全警示标志，安装监控预警等设备。负责安排足够的专职安全保卫人员，昼夜24小时在工地值班巡逻，并根据考古挖掘单位要求在每一个考古发掘单位上方架设标准数量、规格的摄像监控，做到全程无死角监控发掘过程。安全保卫工作必须严格按照《考古工地安全保卫工作管理规范》执行；并接受考古发掘单位工地负责人及公安科人员的检查督查；负责所有考古工地的安全记录（包括值班记录、人员车辆出入登记、所有录像监控记录数据等），并在工地结束后必须全部提交考古发掘单位公安科存档。</w:t>
            </w:r>
          </w:p>
          <w:p>
            <w:pPr>
              <w:pStyle w:val="null3"/>
              <w:ind w:firstLine="400"/>
            </w:pPr>
            <w:r>
              <w:rPr>
                <w:rFonts w:ascii="仿宋_GB2312" w:hAnsi="仿宋_GB2312" w:cs="仿宋_GB2312" w:eastAsia="仿宋_GB2312"/>
              </w:rPr>
              <w:t>5、按照国家及行业对文物发掘现场的相关法律法规、行业规定，且在文物挖掘保护技术单位的指导下，承担考古发掘所需的支护加固工作。做好发掘过程中必须的支护加固等工作，对考古发掘单位提出的问题和建议应及时整改到位，确保安全施工。</w:t>
            </w:r>
          </w:p>
          <w:p>
            <w:pPr>
              <w:pStyle w:val="null3"/>
              <w:ind w:firstLine="400"/>
            </w:pPr>
            <w:r>
              <w:rPr>
                <w:rFonts w:ascii="仿宋_GB2312" w:hAnsi="仿宋_GB2312" w:cs="仿宋_GB2312" w:eastAsia="仿宋_GB2312"/>
              </w:rPr>
              <w:t>6、供应商为考古发掘提供文物发掘保护、看护、配合发掘清理中的民工劳务工作。做好现场文物保护，并全权负责管理好文物挖掘清理保护过程中使用的机械、车辆及其他工器具以及人员，包括施工现场和生活场所等凡是中标单位人员活动的地方。规范人员及民工的生活、工作、言行，其人身安全和财务安全等均由中标单位自行负责。配合采购人及考古发掘单位出具考古发掘所需所有资料。</w:t>
            </w:r>
          </w:p>
          <w:p>
            <w:pPr>
              <w:pStyle w:val="null3"/>
              <w:ind w:firstLine="400"/>
            </w:pPr>
            <w:r>
              <w:rPr>
                <w:rFonts w:ascii="仿宋_GB2312" w:hAnsi="仿宋_GB2312" w:cs="仿宋_GB2312" w:eastAsia="仿宋_GB2312"/>
              </w:rPr>
              <w:t>（三）其他服务要求</w:t>
            </w:r>
          </w:p>
          <w:p>
            <w:pPr>
              <w:pStyle w:val="null3"/>
              <w:ind w:firstLine="400"/>
            </w:pPr>
            <w:r>
              <w:rPr>
                <w:rFonts w:ascii="仿宋_GB2312" w:hAnsi="仿宋_GB2312" w:cs="仿宋_GB2312" w:eastAsia="仿宋_GB2312"/>
              </w:rPr>
              <w:t>1.</w:t>
            </w:r>
            <w:r>
              <w:rPr>
                <w:rFonts w:ascii="仿宋_GB2312" w:hAnsi="仿宋_GB2312" w:cs="仿宋_GB2312" w:eastAsia="仿宋_GB2312"/>
              </w:rPr>
              <w:t>供应商提供的服务，必须是符合国家有关标准要求，并满足磋商文件规定的价格、完成期限、售后服务及供应商须承担的技术支持和磋商文件规定的其它伴随服务等要求。</w:t>
            </w:r>
          </w:p>
          <w:p>
            <w:pPr>
              <w:pStyle w:val="null3"/>
              <w:ind w:firstLine="400"/>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采购人有权拒绝接受任何不合格的服务，由此产生的费用及相关后果均由供应商自行承担。</w:t>
            </w:r>
          </w:p>
          <w:p>
            <w:pPr>
              <w:pStyle w:val="null3"/>
              <w:ind w:firstLine="402"/>
            </w:pPr>
            <w:r>
              <w:rPr>
                <w:rFonts w:ascii="仿宋_GB2312" w:hAnsi="仿宋_GB2312" w:cs="仿宋_GB2312" w:eastAsia="仿宋_GB2312"/>
                <w:b/>
              </w:rPr>
              <w:t>五、商务要求</w:t>
            </w:r>
          </w:p>
          <w:p>
            <w:pPr>
              <w:pStyle w:val="null3"/>
              <w:ind w:firstLine="400"/>
            </w:pPr>
            <w:r>
              <w:rPr>
                <w:rFonts w:ascii="仿宋_GB2312" w:hAnsi="仿宋_GB2312" w:cs="仿宋_GB2312" w:eastAsia="仿宋_GB2312"/>
              </w:rPr>
              <w:t>（一）服务期：自采购人通知供应商进场开展工作之日起，供应商</w:t>
            </w:r>
            <w:r>
              <w:rPr>
                <w:rFonts w:ascii="仿宋_GB2312" w:hAnsi="仿宋_GB2312" w:cs="仿宋_GB2312" w:eastAsia="仿宋_GB2312"/>
              </w:rPr>
              <w:t>30个工作日内完成考古发掘工作。</w:t>
            </w:r>
          </w:p>
          <w:p>
            <w:pPr>
              <w:pStyle w:val="null3"/>
              <w:ind w:firstLine="400"/>
            </w:pPr>
            <w:r>
              <w:rPr>
                <w:rFonts w:ascii="仿宋_GB2312" w:hAnsi="仿宋_GB2312" w:cs="仿宋_GB2312" w:eastAsia="仿宋_GB2312"/>
              </w:rPr>
              <w:t>（二）款项结算：合同签订并进场发掘后</w:t>
            </w:r>
            <w:r>
              <w:rPr>
                <w:rFonts w:ascii="仿宋_GB2312" w:hAnsi="仿宋_GB2312" w:cs="仿宋_GB2312" w:eastAsia="仿宋_GB2312"/>
              </w:rPr>
              <w:t>10个工作日内，采购人向供应商支付合同总价的50%；发掘工作完成全部工程总量的50%并经采购人书面确认后支付合同总价的30%；待发掘技术单位报请主管部门完成最终验收工作并取得相关文物报告后支付剩余20%费用。</w:t>
            </w:r>
          </w:p>
          <w:p>
            <w:pPr>
              <w:pStyle w:val="null3"/>
              <w:ind w:firstLine="400"/>
            </w:pPr>
            <w:r>
              <w:rPr>
                <w:rFonts w:ascii="仿宋_GB2312" w:hAnsi="仿宋_GB2312" w:cs="仿宋_GB2312" w:eastAsia="仿宋_GB2312"/>
              </w:rPr>
              <w:t>（三）该项目报价</w:t>
            </w:r>
            <w:r>
              <w:rPr>
                <w:rFonts w:ascii="仿宋_GB2312" w:hAnsi="仿宋_GB2312" w:cs="仿宋_GB2312" w:eastAsia="仿宋_GB2312"/>
              </w:rPr>
              <w:t>含</w:t>
            </w:r>
            <w:r>
              <w:rPr>
                <w:rFonts w:ascii="仿宋_GB2312" w:hAnsi="仿宋_GB2312" w:cs="仿宋_GB2312" w:eastAsia="仿宋_GB2312"/>
              </w:rPr>
              <w:t>税及</w:t>
            </w:r>
            <w:r>
              <w:rPr>
                <w:rFonts w:ascii="仿宋_GB2312" w:hAnsi="仿宋_GB2312" w:cs="仿宋_GB2312" w:eastAsia="仿宋_GB2312"/>
              </w:rPr>
              <w:t>完成本</w:t>
            </w:r>
            <w:r>
              <w:rPr>
                <w:rFonts w:ascii="仿宋_GB2312" w:hAnsi="仿宋_GB2312" w:cs="仿宋_GB2312" w:eastAsia="仿宋_GB2312"/>
              </w:rPr>
              <w:t>项目服务内容</w:t>
            </w:r>
            <w:r>
              <w:rPr>
                <w:rFonts w:ascii="仿宋_GB2312" w:hAnsi="仿宋_GB2312" w:cs="仿宋_GB2312" w:eastAsia="仿宋_GB2312"/>
              </w:rPr>
              <w:t>所发生的一切费用</w:t>
            </w:r>
            <w:r>
              <w:rPr>
                <w:rFonts w:ascii="仿宋_GB2312" w:hAnsi="仿宋_GB2312" w:cs="仿宋_GB2312" w:eastAsia="仿宋_GB2312"/>
              </w:rPr>
              <w:t>，</w:t>
            </w:r>
            <w:r>
              <w:rPr>
                <w:rFonts w:ascii="仿宋_GB2312" w:hAnsi="仿宋_GB2312" w:cs="仿宋_GB2312" w:eastAsia="仿宋_GB2312"/>
              </w:rPr>
              <w:t>不受市场价格变化的影响。</w:t>
            </w:r>
          </w:p>
          <w:p>
            <w:pPr>
              <w:pStyle w:val="null3"/>
              <w:ind w:firstLine="402"/>
            </w:pPr>
            <w:r>
              <w:rPr>
                <w:rFonts w:ascii="仿宋_GB2312" w:hAnsi="仿宋_GB2312" w:cs="仿宋_GB2312" w:eastAsia="仿宋_GB2312"/>
                <w:b/>
              </w:rPr>
              <w:t>六、其他</w:t>
            </w:r>
          </w:p>
          <w:p>
            <w:pPr>
              <w:pStyle w:val="null3"/>
              <w:ind w:firstLine="400"/>
            </w:pPr>
            <w:r>
              <w:rPr>
                <w:rFonts w:ascii="仿宋_GB2312" w:hAnsi="仿宋_GB2312" w:cs="仿宋_GB2312" w:eastAsia="仿宋_GB2312"/>
              </w:rPr>
              <w:t>初步验收和最终验收</w:t>
            </w:r>
          </w:p>
          <w:p>
            <w:pPr>
              <w:pStyle w:val="null3"/>
              <w:ind w:firstLine="400"/>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工程具备完工验收条件，</w:t>
            </w:r>
            <w:r>
              <w:rPr>
                <w:rFonts w:ascii="仿宋_GB2312" w:hAnsi="仿宋_GB2312" w:cs="仿宋_GB2312" w:eastAsia="仿宋_GB2312"/>
              </w:rPr>
              <w:t>供应商</w:t>
            </w:r>
            <w:r>
              <w:rPr>
                <w:rFonts w:ascii="仿宋_GB2312" w:hAnsi="仿宋_GB2312" w:cs="仿宋_GB2312" w:eastAsia="仿宋_GB2312"/>
              </w:rPr>
              <w:t>按有关规定组织技术服务单位共同进行初步验收，技术服务在初步验收后</w:t>
            </w:r>
            <w:r>
              <w:rPr>
                <w:rFonts w:ascii="仿宋_GB2312" w:hAnsi="仿宋_GB2312" w:cs="仿宋_GB2312" w:eastAsia="仿宋_GB2312"/>
              </w:rPr>
              <w:t>15</w:t>
            </w:r>
            <w:r>
              <w:rPr>
                <w:rFonts w:ascii="仿宋_GB2312" w:hAnsi="仿宋_GB2312" w:cs="仿宋_GB2312" w:eastAsia="仿宋_GB2312"/>
              </w:rPr>
              <w:t>日内给予批准或提出修改意见。</w:t>
            </w:r>
            <w:r>
              <w:rPr>
                <w:rFonts w:ascii="仿宋_GB2312" w:hAnsi="仿宋_GB2312" w:cs="仿宋_GB2312" w:eastAsia="仿宋_GB2312"/>
              </w:rPr>
              <w:t>供应商</w:t>
            </w:r>
            <w:r>
              <w:rPr>
                <w:rFonts w:ascii="仿宋_GB2312" w:hAnsi="仿宋_GB2312" w:cs="仿宋_GB2312" w:eastAsia="仿宋_GB2312"/>
              </w:rPr>
              <w:t>按要求修改，并承担由自身原因造成修改的费用。</w:t>
            </w:r>
          </w:p>
          <w:p>
            <w:pPr>
              <w:pStyle w:val="null3"/>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初步验收合格后，发掘技术单位报请主管部门，由主管部门进行最终验收工作并在通过最终验收后出具相关文物报告。</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具有考古发掘劳务服务工作经验，供应商须提供针对本项目的详细人员配备情况</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提供具有履行本合同所必需的设备。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自采购人通知供应商进场开展工作之日起，供应商30个工作日内完成考古发掘工作。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1、工程具备完工验收条件，供应商按有关规定组织技术服务单位共同进行初步验收，技术服务在初步验收后15日内给予批准或提出修改意见。供应商按要求修改，并承担由自身原因造成修改的费用。 2、初步验收合格后，发掘技术单位报请主管部门，由主管部门进行最终验收工作并在通过最终验收后出具相关文物报告。</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合同签订并进场发掘后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发掘工作完成全部工程总量的50%并经采购人书面确认后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待发掘技术单位报请主管部门完成最终验收工作并取得相关文物报告后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见合同条款约定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各供应商应根据“陕西省财政厅陕财办采函〔2023〕14号文”《陕西省财政厅关于省级预算单位全面推行政府采购项目电子化交易的通知》“陕西省财政厅陕财办采〔2022〕9号文”《政府采购项目电子化交易规则》等文件的要求，做好人员配备、设施设备、系统操作的相应准备，熟悉并正确实施相关操作流程，承担由于操作或其他因素造成的不利后果。（二）为顺利推进政府采购电子化交易平台应用工作，供应商需要在线提交所有通过电子化交易平台实施的政府采购项目的投标文件，同时，中标供应商领取中标通知书时，应线下提交纸质版投标文件，正本壹份、副本贰套至代理机构。 线上电子投标文件与纸质投标文件一致;若正本和副本不符，以正本为准。（三）落实政府采购政策需满足的资格要求：依据《中华人民共和国政府采购法》和《中华人民共和国政府采购法实施条例》的有关规定，落实政府采购“优先购买节能环保产品、扶持小微企业、监狱企业、福利企业”等相关政策。1、《政府采购促进中小企业发展管理办法》（财库〔2020〕46号）、《陕西省财政厅关于进一步加大政府采购支持中小企业力度的通知》（陕财办采〔2022〕5号）、《陕西省财政厅关于落实政府采购支持中小企业政策有关事项的通知》（陕财办采〔2022〕10号）、《财政部关于进一步加大政府采购支持中小企业力度》的通知（财库〔2022〕19号）；2、《财政部司法部关于政府采购支持监狱企业发展有关问题的通知》（财库〔2014〕68号）；3、《国务院办公厅关于建立政府强制采购节能产品制度的通知》（国办发〔2007〕51号）；4、《三部门联合发布关于促进残疾人就业政府采购政策的通知》（财库〔2017〕141号）；5、《财政部发展改革委生态环境部市场监管总局关于调整优化节能产品、环境标志产品政府采购执行机制的通知》（财库〔2019〕9号）；6、关于印发环境标志产品政府采购品目清单的通知（财库〔2019〕18号）；7、《关于印发节能产品政府采购品目清单的通知》（财库〔2019〕19号）；8、《财政部、农业农村部、国家乡村振兴局关于运用政府采购政策支持乡村产业振兴的通知》（财库〔2021〕19号）；9、《陕西省中小企业政府采购信用融资办法》（陕财办采〔2018〕23号）、陕西省财政厅、中国人民银行西安分行关于深入推进政府采购信用融资业务的通知（陕财办采〔2023〕5号）；10、《关于政府采购支持绿色建材促进建筑品质提升试点工作的通知》（财库〔2020〕31号）；11、融资平台：根据《陕西省财政厅关于加快推进我省中小企业政府采购信用融资工作的通知》陕财办采〔2020〕15号文件精神，有融资需求的供应商可根据自身情况，在陕西省政府采购信用融资平台（含各市分平台）自主选择金融机构及其融资产品，凭政府采购中标（成交）通知书或政府采购合同向金融机构提出融资申请；12、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供应商资格要求.docx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供应商资格要求.docx 供应商认为应提交的相关资格证明材料.docx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或2024年度经审计的财务报（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供应商资格要求.docx 供应商认为应提交的相关资格证明材料.docx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供应商资格要求.docx 供应商认为应提交的相关资格证明材料.docx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 供应商认为应提交的相关资格证明材料.docx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税种至少包含增值税或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 供应商认为应提交的相关资格证明材料.docx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供应商资格要求.docx 供应商认为应提交的相关资格证明材料.docx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供应商资格要求.docx 供应商认为应提交的相关资格证明材料.docx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供应商资格要求.docx 供应商认为应提交的相关资格证明材料.docx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法定代表人参加磋商的，须提供本人身份证复印件（附在资格证明文件中）；法定代表人授 权他人参加磋商的，须提供法定代表人授权委托书。磋商文件中凡是需要法定代表人盖章之处，非法人单位的负责人均参照执行。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供应商资格要求.docx 供应商认为应提交的相关资格证明材料.docx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本项目不接受联合体磋商，不允许分包</w:t>
            </w:r>
          </w:p>
        </w:tc>
        <w:tc>
          <w:tcPr>
            <w:tcW w:type="dxa" w:w="3322"/>
          </w:tcPr>
          <w:p>
            <w:pPr>
              <w:pStyle w:val="null3"/>
            </w:pPr>
            <w:r>
              <w:rPr>
                <w:rFonts w:ascii="仿宋_GB2312" w:hAnsi="仿宋_GB2312" w:cs="仿宋_GB2312" w:eastAsia="仿宋_GB2312"/>
              </w:rPr>
              <w:t>供应商应提供《非联合体不分包磋商声明》，视为独立磋商，不分包。</w:t>
            </w:r>
          </w:p>
        </w:tc>
        <w:tc>
          <w:tcPr>
            <w:tcW w:type="dxa" w:w="1661"/>
          </w:tcPr>
          <w:p>
            <w:pPr>
              <w:pStyle w:val="null3"/>
            </w:pPr>
            <w:r>
              <w:rPr>
                <w:rFonts w:ascii="仿宋_GB2312" w:hAnsi="仿宋_GB2312" w:cs="仿宋_GB2312" w:eastAsia="仿宋_GB2312"/>
              </w:rPr>
              <w:t>供应商资格要求.docx 供应商认为应提交的相关资格证明材料.docx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拟投入本项目的人员配置情况表.docx 中小企业声明函 报价表 供应商认为应提交的相关资格证明材料.docx 响应文件封面 分项报价表.docx 供应商资格要求.docx 拟投入本项目的设备仪器表.docx 残疾人福利性单位声明函 标的清单 供应商近三年类似项目业绩证明材料.docx 响应函 商务、服务内容偏离表、技术响应偏差表.docx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均按磋商文件要求签字、盖章（评分标准中要求提供的证明材料除外）。</w:t>
            </w:r>
          </w:p>
        </w:tc>
        <w:tc>
          <w:tcPr>
            <w:tcW w:type="dxa" w:w="1661"/>
          </w:tcPr>
          <w:p>
            <w:pPr>
              <w:pStyle w:val="null3"/>
            </w:pPr>
            <w:r>
              <w:rPr>
                <w:rFonts w:ascii="仿宋_GB2312" w:hAnsi="仿宋_GB2312" w:cs="仿宋_GB2312" w:eastAsia="仿宋_GB2312"/>
              </w:rPr>
              <w:t>拟投入本项目的人员配置情况表.docx 中小企业声明函 报价表 供应商认为应提交的相关资格证明材料.docx 响应文件封面 分项报价表.docx 供应商资格要求.docx 拟投入本项目的设备仪器表.docx 残疾人福利性单位声明函 标的清单 供应商近三年类似项目业绩证明材料.docx 响应函 商务、服务内容偏离表、技术响应偏差表.docx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响应报价表</w:t>
            </w:r>
          </w:p>
        </w:tc>
        <w:tc>
          <w:tcPr>
            <w:tcW w:type="dxa" w:w="3322"/>
          </w:tcPr>
          <w:p>
            <w:pPr>
              <w:pStyle w:val="null3"/>
            </w:pPr>
            <w:r>
              <w:rPr>
                <w:rFonts w:ascii="仿宋_GB2312" w:hAnsi="仿宋_GB2312" w:cs="仿宋_GB2312" w:eastAsia="仿宋_GB2312"/>
              </w:rPr>
              <w:t>（1）响应报价符合唯一性要求：（2）响应报价表填写符合要求；（3）计量单位、报价货币均符合磋商文件要求；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完全理解接受磋商文件商务条款。</w:t>
            </w:r>
          </w:p>
        </w:tc>
        <w:tc>
          <w:tcPr>
            <w:tcW w:type="dxa" w:w="1661"/>
          </w:tcPr>
          <w:p>
            <w:pPr>
              <w:pStyle w:val="null3"/>
            </w:pPr>
            <w:r>
              <w:rPr>
                <w:rFonts w:ascii="仿宋_GB2312" w:hAnsi="仿宋_GB2312" w:cs="仿宋_GB2312" w:eastAsia="仿宋_GB2312"/>
              </w:rPr>
              <w:t>商务、服务内容偏离表、技术响应偏差表.docx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拟投入本项目的人员配置情况表.docx 中小企业声明函 报价表 供应商认为应提交的相关资格证明材料.docx 响应文件封面 分项报价表.docx 供应商资格要求.docx 拟投入本项目的设备仪器表.docx 残疾人福利性单位声明函 标的清单 供应商近三年类似项目业绩证明材料.docx 响应函 商务、服务内容偏离表、技术响应偏差表.docx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一、评审内容：针对本项目内容提出适用于本项目的整体服务方案，方案包括：①前期的准备方案；②项目实施过程的方案；③后续处理方案。 二、评审标准：1、完整性：方案必须全面，对评审内容中的各项要求有详细描述。 2、针对性：方案能够紧扣项目实际情况，内容科学合理。 3、可实施性：切合本项目实际情况，提出步骤清晰、合理的方案。 三、赋分标准（满分18分） 每完全满足一个评审标准得2分；针对评审标准存在不合理处的得1分；内容与本项目无关或未提供的得0分。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针对本项目内容提出适用于本项目的服务承诺，包括：①对本项目质量、项目实施进度、后期服务等方面做出承诺；②对服务时限内团队稳定性做出承诺；③对人员到位情况、人员及文物安全等方面做出承诺；④对服务期内服务质量一致性等相关内容做出承诺。 二、评审标准 1、完整性：承诺必须全面，对评审内容中的各项要求有详细描述。 2、针对性：承诺能够紧扣项目实际情况，内容科学合理。 3、可实施性：切合本项目实际情况，提出合理的承诺内容。 三、赋分标准（满分12分） 每完全满足一个评审标准得1分；针对评审标准存在不合理处的得0.5分；内容与本项目无关或未提供的得0分。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文物保护方案</w:t>
            </w:r>
          </w:p>
        </w:tc>
        <w:tc>
          <w:tcPr>
            <w:tcW w:type="dxa" w:w="2492"/>
          </w:tcPr>
          <w:p>
            <w:pPr>
              <w:pStyle w:val="null3"/>
            </w:pPr>
            <w:r>
              <w:rPr>
                <w:rFonts w:ascii="仿宋_GB2312" w:hAnsi="仿宋_GB2312" w:cs="仿宋_GB2312" w:eastAsia="仿宋_GB2312"/>
              </w:rPr>
              <w:t>一、评审内容：针对本项目内容提出适用于本项目的整体服务方案，方案包括：①文物古迹的保护方案；②对存放文物库房的看护方案。 二、评审标准：1、完整性：方案必须全面，对评审内容中的各项要求有详细描述。 2、针对性：方案能够紧扣项目实际情况，内容科学合理。 3、可实施性：切合本项目实际情况，提出步骤清晰、合理的方案。 三、赋分标准（满分12分） 每完全满足一个评审标准得2分；针对评审标准存在不合理处的得1分；内容与本项目无关或未提供的得0分。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拟投入本项目的工具设备情况</w:t>
            </w:r>
          </w:p>
        </w:tc>
        <w:tc>
          <w:tcPr>
            <w:tcW w:type="dxa" w:w="2492"/>
          </w:tcPr>
          <w:p>
            <w:pPr>
              <w:pStyle w:val="null3"/>
            </w:pPr>
            <w:r>
              <w:rPr>
                <w:rFonts w:ascii="仿宋_GB2312" w:hAnsi="仿宋_GB2312" w:cs="仿宋_GB2312" w:eastAsia="仿宋_GB2312"/>
              </w:rPr>
              <w:t>一、评审内容：供应商针对本项目拟投入本项目的工具设备情况，包括设备新旧程度、数量等。 二、评审标准及赋分（满分5分） 工具配置齐全，数量充足，充分满足工作需求计5分； 工具配置齐全，基本满足工作需求计4分；工具配置较齐全，勉强满足工作需求计3分； 有一定的工具配置，设备陈旧计2分；有工具配置，但对项目需求满足不彻底计1分。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拟投入本项目的设备仪器表.docx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一、评审内容：针对本项目内容提出适用于本项目的保障措施，方案包括：①服务质量保证措施；②确保安全作业的保障措施以及出现突发状况或问题后的补救措施；③项目实施进度保障措施。 二、评审标准：1、完整性：措施全面，对评审内容中的各项要求有详细描述。2、针对性：相关措施能够紧扣项目实际情况，内容科学合理。 3、可实施性：切合本项目实际情况，提出步骤清晰、合理的保障措施。 三、赋分标准（满分9分） 每完全满足一个评审标准得1分；针对评审标准存在不合理处的得0.5分；内容与本项目无关或未提供的得0分。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一、评审内容：针对本项目的服务提供详细的过程中的方案，内容包括：①保密措施②保密责任。 二、评审标准：1、完整性：方案须全面，对评审内容中的各项要求描述详细； 2、可实施性：切合本项目实际情况，实施步骤清晰、合理； 三、赋分依据（满分8分） 每完全满足一个评审标准得2分，针对评审标准存在不合理处的得1分；内容与本项目无关或未提供的得0分。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廉洁措施</w:t>
            </w:r>
          </w:p>
        </w:tc>
        <w:tc>
          <w:tcPr>
            <w:tcW w:type="dxa" w:w="2492"/>
          </w:tcPr>
          <w:p>
            <w:pPr>
              <w:pStyle w:val="null3"/>
            </w:pPr>
            <w:r>
              <w:rPr>
                <w:rFonts w:ascii="仿宋_GB2312" w:hAnsi="仿宋_GB2312" w:cs="仿宋_GB2312" w:eastAsia="仿宋_GB2312"/>
              </w:rPr>
              <w:t>廉洁方案和措施，对本项目发掘过程中所发现的所有文物、遗迹 、墓葬等有相关的廉洁方案和制度约束工作人员，保证工作人员恪守工作制度、廉洁自律 （满分5分）。 廉洁方案和措施完整、全面、可行性强，能够确保本项目廉洁要求的得5分； 方案措施基本完整、全面、有一定的可行性的得3分； 方案和措施简单，可行性一般的得1分；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应急预案措施</w:t>
            </w:r>
          </w:p>
        </w:tc>
        <w:tc>
          <w:tcPr>
            <w:tcW w:type="dxa" w:w="2492"/>
          </w:tcPr>
          <w:p>
            <w:pPr>
              <w:pStyle w:val="null3"/>
            </w:pPr>
            <w:r>
              <w:rPr>
                <w:rFonts w:ascii="仿宋_GB2312" w:hAnsi="仿宋_GB2312" w:cs="仿宋_GB2312" w:eastAsia="仿宋_GB2312"/>
              </w:rPr>
              <w:t>一、评审内容：供应商根据项目工作特点提供完善的应急预案措施。 二、评审标准及赋分（满分8分） 应急预案措施科学合理、全面，实施性强，有针对性计8分； 应急预案措施较科学合理、较全面，有一定实施性计6分； 应急预案措施基本合理、全面，实施性一般计4分； 有应急预案，实施性不强计2分。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人员配置情况</w:t>
            </w:r>
          </w:p>
        </w:tc>
        <w:tc>
          <w:tcPr>
            <w:tcW w:type="dxa" w:w="2492"/>
          </w:tcPr>
          <w:p>
            <w:pPr>
              <w:pStyle w:val="null3"/>
            </w:pPr>
            <w:r>
              <w:rPr>
                <w:rFonts w:ascii="仿宋_GB2312" w:hAnsi="仿宋_GB2312" w:cs="仿宋_GB2312" w:eastAsia="仿宋_GB2312"/>
              </w:rPr>
              <w:t>供应商有针对本项目的专业服务团队，人员配备数量充足，组织结构合理，人员分工明确满足要求、各专业配置齐全、人员相关资料提供充足、人员证书齐全，能充分满足本项目需求的得5分； 有针对本项目的专业服务团队，人员配备数量充足，专业人员配备能够基本满足项目实施需要，分工有一定的合理性，专业配置齐全、人员相关资料提供充足的，基本能满足项目需求的得4分； 有针对本项目的专业服务团队，人员配备数量一般、专业配置基本能够基本满足项目实施需要但分工合理性有缺失的，人员相关资料提供有缺失，人员证书未附全的得3分； 有针对本项目的专业服务团队，人员配备数量较少，专业配置有缺失的，人员证书未附全的得2分； 有针对本项目的专业服务团队，人员配备简单、人员证书未附的得1分； 人员配置严重不足或未提供的不得分。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拟投入本项目的人员配置情况表.docx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提供2023年1月1日至今类似业绩（以加盖供应商公章的合同复印件或扫描件作为评审依据），每提供一个业绩得2分，满分8分。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供应商近三年类似项目业绩证明材料.docx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各有效供应商的评审价中，取最终报价最低者作为基准价，各有效供应商的价格评分统一按照下列公式计算： 价格评分＝（基准价÷评审价）×价格分分值。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详见附件：商务、服务内容偏离表、技术响应偏差表.docx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详见附件：拟投入本项目的设备仪器表.docx</w:t>
      </w:r>
    </w:p>
    <w:p>
      <w:pPr>
        <w:pStyle w:val="null3"/>
        <w:ind w:firstLine="960"/>
      </w:pPr>
      <w:r>
        <w:rPr>
          <w:rFonts w:ascii="仿宋_GB2312" w:hAnsi="仿宋_GB2312" w:cs="仿宋_GB2312" w:eastAsia="仿宋_GB2312"/>
        </w:rPr>
        <w:t>详见附件：拟投入本项目的人员配置情况表.docx</w:t>
      </w:r>
    </w:p>
    <w:p>
      <w:pPr>
        <w:pStyle w:val="null3"/>
        <w:ind w:firstLine="960"/>
      </w:pPr>
      <w:r>
        <w:rPr>
          <w:rFonts w:ascii="仿宋_GB2312" w:hAnsi="仿宋_GB2312" w:cs="仿宋_GB2312" w:eastAsia="仿宋_GB2312"/>
        </w:rPr>
        <w:t>详见附件：供应商近三年类似项目业绩证明材料.docx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详见附件：供应商认为应提交的相关资格证明材料.docx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