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3FB3CE">
      <w:pPr>
        <w:spacing w:line="580" w:lineRule="exact"/>
        <w:ind w:firstLine="723" w:firstLineChars="200"/>
        <w:jc w:val="center"/>
        <w:rPr>
          <w:rFonts w:hint="eastAsia" w:ascii="宋体" w:hAnsi="宋体" w:eastAsia="宋体" w:cs="宋体"/>
          <w:color w:val="000000"/>
          <w:sz w:val="24"/>
          <w:szCs w:val="24"/>
          <w:lang w:eastAsia="zh-CN"/>
        </w:rPr>
      </w:pPr>
      <w:r>
        <w:rPr>
          <w:rFonts w:hint="eastAsia" w:ascii="宋体" w:hAnsi="宋体" w:eastAsia="宋体" w:cs="宋体"/>
          <w:b/>
          <w:bCs/>
          <w:sz w:val="36"/>
          <w:szCs w:val="36"/>
        </w:rPr>
        <w:t>合同条款</w:t>
      </w:r>
      <w:r>
        <w:rPr>
          <w:rFonts w:hint="eastAsia" w:ascii="宋体" w:hAnsi="宋体" w:eastAsia="宋体" w:cs="宋体"/>
          <w:b/>
          <w:bCs/>
          <w:sz w:val="36"/>
          <w:szCs w:val="36"/>
          <w:lang w:eastAsia="zh-CN"/>
        </w:rPr>
        <w:t>（</w:t>
      </w:r>
      <w:r>
        <w:rPr>
          <w:rFonts w:hint="eastAsia" w:ascii="宋体" w:hAnsi="宋体" w:cs="宋体"/>
          <w:b/>
          <w:bCs/>
          <w:sz w:val="36"/>
          <w:szCs w:val="36"/>
          <w:lang w:val="en-US" w:eastAsia="zh-CN"/>
        </w:rPr>
        <w:t>仅供</w:t>
      </w:r>
      <w:r>
        <w:rPr>
          <w:rFonts w:hint="eastAsia" w:ascii="宋体" w:hAnsi="宋体" w:eastAsia="宋体" w:cs="宋体"/>
          <w:b/>
          <w:bCs/>
          <w:sz w:val="36"/>
          <w:szCs w:val="36"/>
          <w:lang w:val="en-US" w:eastAsia="zh-CN"/>
        </w:rPr>
        <w:t>参考</w:t>
      </w:r>
      <w:r>
        <w:rPr>
          <w:rFonts w:hint="eastAsia" w:ascii="宋体" w:hAnsi="宋体" w:eastAsia="宋体" w:cs="宋体"/>
          <w:b/>
          <w:bCs/>
          <w:sz w:val="36"/>
          <w:szCs w:val="36"/>
          <w:lang w:eastAsia="zh-CN"/>
        </w:rPr>
        <w:t>）</w:t>
      </w:r>
    </w:p>
    <w:p w14:paraId="70494F98">
      <w:pPr>
        <w:spacing w:line="580" w:lineRule="exact"/>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甲</w:t>
      </w:r>
      <w:r>
        <w:rPr>
          <w:rFonts w:hint="eastAsia" w:ascii="宋体" w:hAnsi="宋体" w:eastAsia="宋体" w:cs="宋体"/>
          <w:sz w:val="24"/>
          <w:szCs w:val="24"/>
        </w:rPr>
        <w:t>方 ：</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756B13A2">
      <w:pPr>
        <w:spacing w:line="5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乙方：</w:t>
      </w:r>
      <w:r>
        <w:rPr>
          <w:rFonts w:hint="eastAsia" w:ascii="宋体" w:hAnsi="宋体" w:eastAsia="宋体" w:cs="宋体"/>
          <w:sz w:val="24"/>
          <w:szCs w:val="24"/>
          <w:u w:val="single"/>
        </w:rPr>
        <w:t xml:space="preserve">                 </w:t>
      </w:r>
    </w:p>
    <w:p w14:paraId="3380D6D3">
      <w:pPr>
        <w:spacing w:line="5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为保障甲乙双方合法权益，规范采购、配送与结算，并以契约形式明确双方的职责和义务，根据《中华人民共和国政府采购法》、《中华人民共和国民法典》等规定，在平等、自愿、协商的基础上，签订本合同。</w:t>
      </w:r>
    </w:p>
    <w:p w14:paraId="78532C8F">
      <w:pPr>
        <w:spacing w:line="5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第一条  合同内容</w:t>
      </w:r>
    </w:p>
    <w:tbl>
      <w:tblPr>
        <w:tblStyle w:val="3"/>
        <w:tblW w:w="81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7"/>
        <w:gridCol w:w="2406"/>
        <w:gridCol w:w="1872"/>
        <w:gridCol w:w="1336"/>
        <w:gridCol w:w="1336"/>
      </w:tblGrid>
      <w:tr w14:paraId="37D6D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exact"/>
          <w:jc w:val="center"/>
        </w:trPr>
        <w:tc>
          <w:tcPr>
            <w:tcW w:w="1167" w:type="dxa"/>
            <w:vAlign w:val="center"/>
          </w:tcPr>
          <w:p w14:paraId="6A456CB5">
            <w:pPr>
              <w:spacing w:line="400" w:lineRule="exact"/>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序号</w:t>
            </w:r>
          </w:p>
        </w:tc>
        <w:tc>
          <w:tcPr>
            <w:tcW w:w="2406" w:type="dxa"/>
            <w:vAlign w:val="center"/>
          </w:tcPr>
          <w:p w14:paraId="43F1096E">
            <w:pPr>
              <w:spacing w:line="400" w:lineRule="exact"/>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名称</w:t>
            </w:r>
          </w:p>
        </w:tc>
        <w:tc>
          <w:tcPr>
            <w:tcW w:w="1872" w:type="dxa"/>
            <w:vAlign w:val="center"/>
          </w:tcPr>
          <w:p w14:paraId="2CC6CEA8">
            <w:pPr>
              <w:spacing w:line="400" w:lineRule="exact"/>
              <w:jc w:val="center"/>
              <w:rPr>
                <w:rFonts w:hint="eastAsia" w:ascii="宋体" w:hAnsi="宋体" w:eastAsia="宋体" w:cs="宋体"/>
                <w:b/>
                <w:color w:val="000000" w:themeColor="text1"/>
                <w:sz w:val="24"/>
                <w:lang w:eastAsia="zh-CN"/>
                <w14:textFill>
                  <w14:solidFill>
                    <w14:schemeClr w14:val="tx1"/>
                  </w14:solidFill>
                </w14:textFill>
              </w:rPr>
            </w:pPr>
            <w:r>
              <w:rPr>
                <w:rFonts w:hint="eastAsia" w:ascii="宋体" w:hAnsi="宋体" w:cs="宋体"/>
                <w:b/>
                <w:color w:val="000000" w:themeColor="text1"/>
                <w:sz w:val="24"/>
                <w:lang w:val="en-US" w:eastAsia="zh-CN"/>
                <w14:textFill>
                  <w14:solidFill>
                    <w14:schemeClr w14:val="tx1"/>
                  </w14:solidFill>
                </w14:textFill>
              </w:rPr>
              <w:t>规格</w:t>
            </w:r>
          </w:p>
        </w:tc>
        <w:tc>
          <w:tcPr>
            <w:tcW w:w="1336" w:type="dxa"/>
            <w:vAlign w:val="center"/>
          </w:tcPr>
          <w:p w14:paraId="1A11498F">
            <w:pPr>
              <w:spacing w:line="400" w:lineRule="exact"/>
              <w:jc w:val="center"/>
              <w:rPr>
                <w:rFonts w:hint="default" w:ascii="宋体" w:hAnsi="宋体" w:eastAsia="宋体" w:cs="宋体"/>
                <w:b/>
                <w:color w:val="000000" w:themeColor="text1"/>
                <w:sz w:val="24"/>
                <w:lang w:val="en-US" w:eastAsia="zh-CN"/>
                <w14:textFill>
                  <w14:solidFill>
                    <w14:schemeClr w14:val="tx1"/>
                  </w14:solidFill>
                </w14:textFill>
              </w:rPr>
            </w:pPr>
            <w:r>
              <w:rPr>
                <w:rFonts w:hint="eastAsia" w:ascii="宋体" w:hAnsi="宋体" w:cs="宋体"/>
                <w:b/>
                <w:color w:val="000000" w:themeColor="text1"/>
                <w:sz w:val="24"/>
                <w:lang w:val="en-US" w:eastAsia="zh-CN"/>
                <w14:textFill>
                  <w14:solidFill>
                    <w14:schemeClr w14:val="tx1"/>
                  </w14:solidFill>
                </w14:textFill>
              </w:rPr>
              <w:t>生产商</w:t>
            </w:r>
          </w:p>
        </w:tc>
        <w:tc>
          <w:tcPr>
            <w:tcW w:w="1336" w:type="dxa"/>
            <w:vAlign w:val="center"/>
          </w:tcPr>
          <w:p w14:paraId="3743F589">
            <w:pPr>
              <w:spacing w:line="400" w:lineRule="exact"/>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单价</w:t>
            </w:r>
          </w:p>
        </w:tc>
      </w:tr>
      <w:tr w14:paraId="487EA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exact"/>
          <w:jc w:val="center"/>
        </w:trPr>
        <w:tc>
          <w:tcPr>
            <w:tcW w:w="1167" w:type="dxa"/>
            <w:vAlign w:val="center"/>
          </w:tcPr>
          <w:p w14:paraId="6B7218EE">
            <w:pPr>
              <w:adjustRightInd w:val="0"/>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p>
        </w:tc>
        <w:tc>
          <w:tcPr>
            <w:tcW w:w="2406" w:type="dxa"/>
            <w:vAlign w:val="center"/>
          </w:tcPr>
          <w:p w14:paraId="3F83BAA2">
            <w:pPr>
              <w:adjustRightInd w:val="0"/>
              <w:snapToGrid w:val="0"/>
              <w:jc w:val="center"/>
              <w:rPr>
                <w:rFonts w:ascii="宋体" w:hAnsi="宋体" w:cs="宋体"/>
                <w:color w:val="000000" w:themeColor="text1"/>
                <w:szCs w:val="21"/>
                <w14:textFill>
                  <w14:solidFill>
                    <w14:schemeClr w14:val="tx1"/>
                  </w14:solidFill>
                </w14:textFill>
              </w:rPr>
            </w:pPr>
          </w:p>
        </w:tc>
        <w:tc>
          <w:tcPr>
            <w:tcW w:w="1872" w:type="dxa"/>
            <w:vAlign w:val="center"/>
          </w:tcPr>
          <w:p w14:paraId="038D4482">
            <w:pPr>
              <w:spacing w:line="400" w:lineRule="exact"/>
              <w:jc w:val="center"/>
              <w:rPr>
                <w:rFonts w:ascii="宋体" w:hAnsi="宋体" w:cs="宋体"/>
                <w:color w:val="000000" w:themeColor="text1"/>
                <w:szCs w:val="21"/>
                <w14:textFill>
                  <w14:solidFill>
                    <w14:schemeClr w14:val="tx1"/>
                  </w14:solidFill>
                </w14:textFill>
              </w:rPr>
            </w:pPr>
          </w:p>
        </w:tc>
        <w:tc>
          <w:tcPr>
            <w:tcW w:w="1336" w:type="dxa"/>
            <w:vAlign w:val="center"/>
          </w:tcPr>
          <w:p w14:paraId="5022969B">
            <w:pPr>
              <w:spacing w:line="400" w:lineRule="exact"/>
              <w:jc w:val="center"/>
              <w:rPr>
                <w:rFonts w:ascii="宋体" w:hAnsi="宋体" w:cs="宋体"/>
                <w:color w:val="000000" w:themeColor="text1"/>
                <w:szCs w:val="21"/>
                <w14:textFill>
                  <w14:solidFill>
                    <w14:schemeClr w14:val="tx1"/>
                  </w14:solidFill>
                </w14:textFill>
              </w:rPr>
            </w:pPr>
          </w:p>
        </w:tc>
        <w:tc>
          <w:tcPr>
            <w:tcW w:w="1336" w:type="dxa"/>
            <w:vAlign w:val="center"/>
          </w:tcPr>
          <w:p w14:paraId="5851F9F7">
            <w:pPr>
              <w:adjustRightInd w:val="0"/>
              <w:snapToGrid w:val="0"/>
              <w:jc w:val="center"/>
              <w:rPr>
                <w:rFonts w:ascii="宋体" w:hAnsi="宋体" w:cs="宋体"/>
                <w:color w:val="000000" w:themeColor="text1"/>
                <w:szCs w:val="21"/>
                <w14:textFill>
                  <w14:solidFill>
                    <w14:schemeClr w14:val="tx1"/>
                  </w14:solidFill>
                </w14:textFill>
              </w:rPr>
            </w:pPr>
          </w:p>
        </w:tc>
      </w:tr>
      <w:tr w14:paraId="1E34C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exact"/>
          <w:jc w:val="center"/>
        </w:trPr>
        <w:tc>
          <w:tcPr>
            <w:tcW w:w="1167" w:type="dxa"/>
            <w:vAlign w:val="center"/>
          </w:tcPr>
          <w:p w14:paraId="10BDCD21">
            <w:pPr>
              <w:adjustRightInd w:val="0"/>
              <w:snapToGrid w:val="0"/>
              <w:jc w:val="center"/>
              <w:rPr>
                <w:rFonts w:ascii="宋体" w:hAnsi="宋体" w:cs="宋体"/>
                <w:color w:val="000000" w:themeColor="text1"/>
                <w:szCs w:val="21"/>
                <w14:textFill>
                  <w14:solidFill>
                    <w14:schemeClr w14:val="tx1"/>
                  </w14:solidFill>
                </w14:textFill>
              </w:rPr>
            </w:pPr>
          </w:p>
        </w:tc>
        <w:tc>
          <w:tcPr>
            <w:tcW w:w="2406" w:type="dxa"/>
            <w:vAlign w:val="center"/>
          </w:tcPr>
          <w:p w14:paraId="4B1F8B4F">
            <w:pPr>
              <w:adjustRightInd w:val="0"/>
              <w:snapToGrid w:val="0"/>
              <w:jc w:val="center"/>
              <w:rPr>
                <w:rFonts w:ascii="宋体" w:hAnsi="宋体" w:cs="宋体"/>
                <w:color w:val="000000" w:themeColor="text1"/>
                <w:szCs w:val="21"/>
                <w14:textFill>
                  <w14:solidFill>
                    <w14:schemeClr w14:val="tx1"/>
                  </w14:solidFill>
                </w14:textFill>
              </w:rPr>
            </w:pPr>
          </w:p>
        </w:tc>
        <w:tc>
          <w:tcPr>
            <w:tcW w:w="1872" w:type="dxa"/>
            <w:vAlign w:val="center"/>
          </w:tcPr>
          <w:p w14:paraId="485DD729">
            <w:pPr>
              <w:spacing w:line="400" w:lineRule="exact"/>
              <w:jc w:val="center"/>
              <w:rPr>
                <w:rFonts w:ascii="宋体" w:hAnsi="宋体" w:cs="宋体"/>
                <w:color w:val="000000" w:themeColor="text1"/>
                <w:szCs w:val="21"/>
                <w14:textFill>
                  <w14:solidFill>
                    <w14:schemeClr w14:val="tx1"/>
                  </w14:solidFill>
                </w14:textFill>
              </w:rPr>
            </w:pPr>
          </w:p>
        </w:tc>
        <w:tc>
          <w:tcPr>
            <w:tcW w:w="1336" w:type="dxa"/>
            <w:vAlign w:val="center"/>
          </w:tcPr>
          <w:p w14:paraId="1F3AA1D4">
            <w:pPr>
              <w:spacing w:line="400" w:lineRule="exact"/>
              <w:jc w:val="center"/>
              <w:rPr>
                <w:rFonts w:ascii="宋体" w:hAnsi="宋体" w:cs="宋体"/>
                <w:color w:val="000000" w:themeColor="text1"/>
                <w:szCs w:val="21"/>
                <w14:textFill>
                  <w14:solidFill>
                    <w14:schemeClr w14:val="tx1"/>
                  </w14:solidFill>
                </w14:textFill>
              </w:rPr>
            </w:pPr>
          </w:p>
        </w:tc>
        <w:tc>
          <w:tcPr>
            <w:tcW w:w="1336" w:type="dxa"/>
            <w:vAlign w:val="center"/>
          </w:tcPr>
          <w:p w14:paraId="4B2D332F">
            <w:pPr>
              <w:adjustRightInd w:val="0"/>
              <w:snapToGrid w:val="0"/>
              <w:jc w:val="center"/>
              <w:rPr>
                <w:rFonts w:ascii="宋体" w:hAnsi="宋体" w:cs="宋体"/>
                <w:color w:val="000000" w:themeColor="text1"/>
                <w:szCs w:val="21"/>
                <w14:textFill>
                  <w14:solidFill>
                    <w14:schemeClr w14:val="tx1"/>
                  </w14:solidFill>
                </w14:textFill>
              </w:rPr>
            </w:pPr>
          </w:p>
        </w:tc>
      </w:tr>
      <w:tr w14:paraId="63F05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exact"/>
          <w:jc w:val="center"/>
        </w:trPr>
        <w:tc>
          <w:tcPr>
            <w:tcW w:w="1167" w:type="dxa"/>
            <w:vAlign w:val="center"/>
          </w:tcPr>
          <w:p w14:paraId="420A051D">
            <w:pPr>
              <w:adjustRightInd w:val="0"/>
              <w:snapToGrid w:val="0"/>
              <w:jc w:val="center"/>
              <w:rPr>
                <w:rFonts w:ascii="宋体" w:hAnsi="宋体" w:cs="宋体"/>
                <w:color w:val="000000" w:themeColor="text1"/>
                <w:szCs w:val="21"/>
                <w14:textFill>
                  <w14:solidFill>
                    <w14:schemeClr w14:val="tx1"/>
                  </w14:solidFill>
                </w14:textFill>
              </w:rPr>
            </w:pPr>
          </w:p>
        </w:tc>
        <w:tc>
          <w:tcPr>
            <w:tcW w:w="2406" w:type="dxa"/>
            <w:vAlign w:val="center"/>
          </w:tcPr>
          <w:p w14:paraId="709B6B1C">
            <w:pPr>
              <w:adjustRightInd w:val="0"/>
              <w:snapToGrid w:val="0"/>
              <w:jc w:val="center"/>
              <w:rPr>
                <w:rFonts w:ascii="宋体" w:hAnsi="宋体" w:cs="宋体"/>
                <w:color w:val="000000" w:themeColor="text1"/>
                <w:szCs w:val="21"/>
                <w14:textFill>
                  <w14:solidFill>
                    <w14:schemeClr w14:val="tx1"/>
                  </w14:solidFill>
                </w14:textFill>
              </w:rPr>
            </w:pPr>
          </w:p>
        </w:tc>
        <w:tc>
          <w:tcPr>
            <w:tcW w:w="1872" w:type="dxa"/>
            <w:vAlign w:val="center"/>
          </w:tcPr>
          <w:p w14:paraId="29A09A3A">
            <w:pPr>
              <w:jc w:val="center"/>
              <w:rPr>
                <w:rFonts w:ascii="宋体" w:hAnsi="宋体" w:cs="宋体"/>
                <w:color w:val="000000" w:themeColor="text1"/>
                <w:szCs w:val="21"/>
                <w14:textFill>
                  <w14:solidFill>
                    <w14:schemeClr w14:val="tx1"/>
                  </w14:solidFill>
                </w14:textFill>
              </w:rPr>
            </w:pPr>
          </w:p>
        </w:tc>
        <w:tc>
          <w:tcPr>
            <w:tcW w:w="1336" w:type="dxa"/>
            <w:vAlign w:val="center"/>
          </w:tcPr>
          <w:p w14:paraId="6452D4DD">
            <w:pPr>
              <w:spacing w:line="400" w:lineRule="exact"/>
              <w:jc w:val="center"/>
              <w:rPr>
                <w:rFonts w:ascii="宋体" w:hAnsi="宋体" w:cs="宋体"/>
                <w:color w:val="000000" w:themeColor="text1"/>
                <w:szCs w:val="21"/>
                <w14:textFill>
                  <w14:solidFill>
                    <w14:schemeClr w14:val="tx1"/>
                  </w14:solidFill>
                </w14:textFill>
              </w:rPr>
            </w:pPr>
          </w:p>
        </w:tc>
        <w:tc>
          <w:tcPr>
            <w:tcW w:w="1336" w:type="dxa"/>
            <w:vAlign w:val="center"/>
          </w:tcPr>
          <w:p w14:paraId="2C0A5770">
            <w:pPr>
              <w:adjustRightInd w:val="0"/>
              <w:snapToGrid w:val="0"/>
              <w:jc w:val="center"/>
              <w:rPr>
                <w:rFonts w:ascii="宋体" w:hAnsi="宋体" w:cs="宋体"/>
                <w:color w:val="000000" w:themeColor="text1"/>
                <w:szCs w:val="21"/>
                <w14:textFill>
                  <w14:solidFill>
                    <w14:schemeClr w14:val="tx1"/>
                  </w14:solidFill>
                </w14:textFill>
              </w:rPr>
            </w:pPr>
          </w:p>
        </w:tc>
      </w:tr>
      <w:tr w14:paraId="00765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exact"/>
          <w:jc w:val="center"/>
        </w:trPr>
        <w:tc>
          <w:tcPr>
            <w:tcW w:w="1167" w:type="dxa"/>
            <w:vAlign w:val="center"/>
          </w:tcPr>
          <w:p w14:paraId="0A5E28CB">
            <w:pPr>
              <w:adjustRightInd w:val="0"/>
              <w:snapToGrid w:val="0"/>
              <w:jc w:val="center"/>
              <w:rPr>
                <w:rFonts w:ascii="宋体" w:hAnsi="宋体" w:cs="宋体"/>
                <w:color w:val="000000" w:themeColor="text1"/>
                <w:szCs w:val="21"/>
                <w14:textFill>
                  <w14:solidFill>
                    <w14:schemeClr w14:val="tx1"/>
                  </w14:solidFill>
                </w14:textFill>
              </w:rPr>
            </w:pPr>
          </w:p>
        </w:tc>
        <w:tc>
          <w:tcPr>
            <w:tcW w:w="2406" w:type="dxa"/>
            <w:vAlign w:val="center"/>
          </w:tcPr>
          <w:p w14:paraId="3F43EEEA">
            <w:pPr>
              <w:adjustRightInd w:val="0"/>
              <w:snapToGrid w:val="0"/>
              <w:jc w:val="center"/>
              <w:rPr>
                <w:rFonts w:ascii="宋体" w:hAnsi="宋体" w:cs="宋体"/>
                <w:color w:val="000000" w:themeColor="text1"/>
                <w:szCs w:val="21"/>
                <w14:textFill>
                  <w14:solidFill>
                    <w14:schemeClr w14:val="tx1"/>
                  </w14:solidFill>
                </w14:textFill>
              </w:rPr>
            </w:pPr>
          </w:p>
        </w:tc>
        <w:tc>
          <w:tcPr>
            <w:tcW w:w="1872" w:type="dxa"/>
            <w:vAlign w:val="center"/>
          </w:tcPr>
          <w:p w14:paraId="040686CC">
            <w:pPr>
              <w:jc w:val="center"/>
              <w:rPr>
                <w:rFonts w:ascii="宋体" w:hAnsi="宋体" w:cs="宋体"/>
                <w:color w:val="000000" w:themeColor="text1"/>
                <w:szCs w:val="21"/>
                <w14:textFill>
                  <w14:solidFill>
                    <w14:schemeClr w14:val="tx1"/>
                  </w14:solidFill>
                </w14:textFill>
              </w:rPr>
            </w:pPr>
          </w:p>
        </w:tc>
        <w:tc>
          <w:tcPr>
            <w:tcW w:w="1336" w:type="dxa"/>
            <w:vAlign w:val="center"/>
          </w:tcPr>
          <w:p w14:paraId="11585514">
            <w:pPr>
              <w:spacing w:line="400" w:lineRule="exact"/>
              <w:jc w:val="center"/>
              <w:rPr>
                <w:rFonts w:ascii="宋体" w:hAnsi="宋体" w:cs="宋体"/>
                <w:color w:val="000000" w:themeColor="text1"/>
                <w:szCs w:val="21"/>
                <w14:textFill>
                  <w14:solidFill>
                    <w14:schemeClr w14:val="tx1"/>
                  </w14:solidFill>
                </w14:textFill>
              </w:rPr>
            </w:pPr>
          </w:p>
        </w:tc>
        <w:tc>
          <w:tcPr>
            <w:tcW w:w="1336" w:type="dxa"/>
            <w:vAlign w:val="center"/>
          </w:tcPr>
          <w:p w14:paraId="725B8A68">
            <w:pPr>
              <w:adjustRightInd w:val="0"/>
              <w:snapToGrid w:val="0"/>
              <w:jc w:val="center"/>
              <w:rPr>
                <w:rFonts w:ascii="宋体" w:hAnsi="宋体" w:cs="宋体"/>
                <w:color w:val="000000" w:themeColor="text1"/>
                <w:szCs w:val="21"/>
                <w14:textFill>
                  <w14:solidFill>
                    <w14:schemeClr w14:val="tx1"/>
                  </w14:solidFill>
                </w14:textFill>
              </w:rPr>
            </w:pPr>
          </w:p>
        </w:tc>
      </w:tr>
    </w:tbl>
    <w:p w14:paraId="0D7AF661">
      <w:pPr>
        <w:spacing w:line="580" w:lineRule="exact"/>
        <w:ind w:firstLine="475" w:firstLineChars="198"/>
        <w:rPr>
          <w:rFonts w:hint="eastAsia" w:ascii="宋体" w:hAnsi="宋体" w:eastAsia="宋体" w:cs="宋体"/>
          <w:sz w:val="24"/>
          <w:szCs w:val="24"/>
        </w:rPr>
      </w:pPr>
      <w:r>
        <w:rPr>
          <w:rFonts w:hint="eastAsia" w:ascii="宋体" w:hAnsi="宋体" w:eastAsia="宋体" w:cs="宋体"/>
          <w:sz w:val="24"/>
          <w:szCs w:val="24"/>
        </w:rPr>
        <w:t>第二条  购销方式</w:t>
      </w:r>
    </w:p>
    <w:p w14:paraId="6C772A71">
      <w:pPr>
        <w:spacing w:line="580" w:lineRule="exact"/>
        <w:ind w:firstLine="400" w:firstLineChars="200"/>
        <w:rPr>
          <w:rFonts w:hint="eastAsia" w:ascii="宋体" w:hAnsi="宋体" w:eastAsia="宋体" w:cs="宋体"/>
          <w:sz w:val="24"/>
          <w:szCs w:val="24"/>
        </w:rPr>
      </w:pPr>
      <w:r>
        <w:rPr>
          <w:rFonts w:hint="eastAsia" w:ascii="宋体" w:hAnsi="宋体" w:eastAsia="宋体" w:cs="宋体"/>
          <w:spacing w:val="-20"/>
          <w:sz w:val="24"/>
          <w:szCs w:val="24"/>
        </w:rPr>
        <w:t>（一）</w:t>
      </w:r>
      <w:r>
        <w:rPr>
          <w:rFonts w:hint="eastAsia" w:ascii="宋体" w:hAnsi="宋体" w:eastAsia="宋体" w:cs="宋体"/>
          <w:spacing w:val="-10"/>
          <w:sz w:val="24"/>
          <w:szCs w:val="24"/>
        </w:rPr>
        <w:t>甲方通过政府</w:t>
      </w:r>
      <w:r>
        <w:rPr>
          <w:rFonts w:hint="eastAsia" w:ascii="宋体" w:hAnsi="宋体" w:eastAsia="宋体" w:cs="宋体"/>
          <w:sz w:val="24"/>
          <w:szCs w:val="24"/>
        </w:rPr>
        <w:t>采购确定购买的</w:t>
      </w:r>
      <w:r>
        <w:rPr>
          <w:rFonts w:hint="eastAsia" w:ascii="宋体" w:hAnsi="宋体" w:cs="宋体"/>
          <w:sz w:val="24"/>
          <w:szCs w:val="24"/>
          <w:lang w:eastAsia="zh-CN"/>
        </w:rPr>
        <w:t>产品</w:t>
      </w:r>
      <w:r>
        <w:rPr>
          <w:rFonts w:hint="eastAsia" w:ascii="宋体" w:hAnsi="宋体" w:eastAsia="宋体" w:cs="宋体"/>
          <w:sz w:val="24"/>
          <w:szCs w:val="24"/>
        </w:rPr>
        <w:t>。有下列情形之一的除外：</w:t>
      </w:r>
    </w:p>
    <w:p w14:paraId="3A6BD2D7">
      <w:pPr>
        <w:spacing w:line="5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1、因战争、自然灾害等，需进行紧急采购的；</w:t>
      </w:r>
    </w:p>
    <w:p w14:paraId="202C0B7A">
      <w:pPr>
        <w:spacing w:line="5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2、发生重大疫情、重大事故等，需进行紧急采购的；</w:t>
      </w:r>
    </w:p>
    <w:p w14:paraId="1ED8651C">
      <w:pPr>
        <w:spacing w:line="5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3、国务院、省级人民政府另有规定的。</w:t>
      </w:r>
    </w:p>
    <w:p w14:paraId="73ABB2B6">
      <w:pPr>
        <w:spacing w:line="5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（二）甲方将定单发送给乙方，乙方确认订单并按照约定配送</w:t>
      </w:r>
      <w:r>
        <w:rPr>
          <w:rFonts w:hint="eastAsia" w:ascii="宋体" w:hAnsi="宋体" w:cs="宋体"/>
          <w:sz w:val="24"/>
          <w:szCs w:val="24"/>
          <w:lang w:eastAsia="zh-CN"/>
        </w:rPr>
        <w:t>产品</w:t>
      </w:r>
      <w:r>
        <w:rPr>
          <w:rFonts w:hint="eastAsia" w:ascii="宋体" w:hAnsi="宋体" w:eastAsia="宋体" w:cs="宋体"/>
          <w:sz w:val="24"/>
          <w:szCs w:val="24"/>
        </w:rPr>
        <w:t>。甲乙双方确认的订单为本合同的重要组成部分。</w:t>
      </w:r>
    </w:p>
    <w:p w14:paraId="0238FF1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（三）甲方收到乙方配送的</w:t>
      </w:r>
      <w:r>
        <w:rPr>
          <w:rFonts w:hint="eastAsia" w:ascii="宋体" w:hAnsi="宋体" w:cs="宋体"/>
          <w:sz w:val="24"/>
          <w:szCs w:val="24"/>
          <w:lang w:eastAsia="zh-CN"/>
        </w:rPr>
        <w:t>产品</w:t>
      </w:r>
      <w:r>
        <w:rPr>
          <w:rFonts w:hint="eastAsia" w:ascii="宋体" w:hAnsi="宋体" w:eastAsia="宋体" w:cs="宋体"/>
          <w:sz w:val="24"/>
          <w:szCs w:val="24"/>
        </w:rPr>
        <w:t>，经验收合格后进行确认，并按约定方式及时间向乙方付款。</w:t>
      </w:r>
    </w:p>
    <w:p w14:paraId="3D1D4892">
      <w:pPr>
        <w:spacing w:line="560" w:lineRule="exact"/>
        <w:ind w:firstLine="475" w:firstLineChars="198"/>
        <w:rPr>
          <w:rFonts w:hint="eastAsia" w:ascii="宋体" w:hAnsi="宋体" w:eastAsia="宋体" w:cs="宋体"/>
          <w:sz w:val="24"/>
          <w:szCs w:val="24"/>
        </w:rPr>
      </w:pPr>
      <w:r>
        <w:rPr>
          <w:rFonts w:hint="eastAsia" w:ascii="宋体" w:hAnsi="宋体" w:eastAsia="宋体" w:cs="宋体"/>
          <w:sz w:val="24"/>
          <w:szCs w:val="24"/>
        </w:rPr>
        <w:t>第三条  质量要求</w:t>
      </w:r>
    </w:p>
    <w:p w14:paraId="63EAFB8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（一）乙方应按照《</w:t>
      </w:r>
      <w:r>
        <w:rPr>
          <w:rFonts w:hint="eastAsia" w:ascii="宋体" w:hAnsi="宋体" w:cs="宋体"/>
          <w:sz w:val="24"/>
          <w:szCs w:val="24"/>
          <w:lang w:eastAsia="zh-CN"/>
        </w:rPr>
        <w:t>产品</w:t>
      </w:r>
      <w:r>
        <w:rPr>
          <w:rFonts w:hint="eastAsia" w:ascii="宋体" w:hAnsi="宋体" w:eastAsia="宋体" w:cs="宋体"/>
          <w:sz w:val="24"/>
          <w:szCs w:val="24"/>
        </w:rPr>
        <w:t>生产质量管理规范》或《</w:t>
      </w:r>
      <w:r>
        <w:rPr>
          <w:rFonts w:hint="eastAsia" w:ascii="宋体" w:hAnsi="宋体" w:cs="宋体"/>
          <w:sz w:val="24"/>
          <w:szCs w:val="24"/>
          <w:lang w:eastAsia="zh-CN"/>
        </w:rPr>
        <w:t>产品</w:t>
      </w:r>
      <w:r>
        <w:rPr>
          <w:rFonts w:hint="eastAsia" w:ascii="宋体" w:hAnsi="宋体" w:eastAsia="宋体" w:cs="宋体"/>
          <w:sz w:val="24"/>
          <w:szCs w:val="24"/>
        </w:rPr>
        <w:t>经营质量管理规范》要求，建立</w:t>
      </w:r>
      <w:r>
        <w:rPr>
          <w:rFonts w:hint="eastAsia" w:ascii="宋体" w:hAnsi="宋体" w:cs="宋体"/>
          <w:sz w:val="24"/>
          <w:szCs w:val="24"/>
          <w:lang w:eastAsia="zh-CN"/>
        </w:rPr>
        <w:t>产品</w:t>
      </w:r>
      <w:r>
        <w:rPr>
          <w:rFonts w:hint="eastAsia" w:ascii="宋体" w:hAnsi="宋体" w:eastAsia="宋体" w:cs="宋体"/>
          <w:sz w:val="24"/>
          <w:szCs w:val="24"/>
        </w:rPr>
        <w:t>质量管理体系，设置质量管理机构，制定质量管理制度，对配送</w:t>
      </w:r>
      <w:r>
        <w:rPr>
          <w:rFonts w:hint="eastAsia" w:ascii="宋体" w:hAnsi="宋体" w:cs="宋体"/>
          <w:sz w:val="24"/>
          <w:szCs w:val="24"/>
          <w:lang w:eastAsia="zh-CN"/>
        </w:rPr>
        <w:t>产品</w:t>
      </w:r>
      <w:r>
        <w:rPr>
          <w:rFonts w:hint="eastAsia" w:ascii="宋体" w:hAnsi="宋体" w:eastAsia="宋体" w:cs="宋体"/>
          <w:sz w:val="24"/>
          <w:szCs w:val="24"/>
        </w:rPr>
        <w:t>质量负全责。</w:t>
      </w:r>
    </w:p>
    <w:p w14:paraId="57B8811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（二）乙方提供的</w:t>
      </w:r>
      <w:r>
        <w:rPr>
          <w:rFonts w:hint="eastAsia" w:ascii="宋体" w:hAnsi="宋体" w:cs="宋体"/>
          <w:sz w:val="24"/>
          <w:szCs w:val="24"/>
          <w:lang w:eastAsia="zh-CN"/>
        </w:rPr>
        <w:t>产品</w:t>
      </w:r>
      <w:r>
        <w:rPr>
          <w:rFonts w:hint="eastAsia" w:ascii="宋体" w:hAnsi="宋体" w:eastAsia="宋体" w:cs="宋体"/>
          <w:sz w:val="24"/>
          <w:szCs w:val="24"/>
        </w:rPr>
        <w:t>必须符合国家</w:t>
      </w:r>
      <w:r>
        <w:rPr>
          <w:rFonts w:hint="eastAsia" w:ascii="宋体" w:hAnsi="宋体" w:cs="宋体"/>
          <w:sz w:val="24"/>
          <w:szCs w:val="24"/>
          <w:lang w:val="en-US" w:eastAsia="zh-CN"/>
        </w:rPr>
        <w:t>或行业</w:t>
      </w:r>
      <w:r>
        <w:rPr>
          <w:rFonts w:hint="eastAsia" w:ascii="宋体" w:hAnsi="宋体" w:cs="宋体"/>
          <w:sz w:val="24"/>
          <w:szCs w:val="24"/>
          <w:lang w:eastAsia="zh-CN"/>
        </w:rPr>
        <w:t>产品</w:t>
      </w:r>
      <w:r>
        <w:rPr>
          <w:rFonts w:hint="eastAsia" w:ascii="宋体" w:hAnsi="宋体" w:eastAsia="宋体" w:cs="宋体"/>
          <w:sz w:val="24"/>
          <w:szCs w:val="24"/>
        </w:rPr>
        <w:t>质量标准和有关要求，并提供其配送</w:t>
      </w:r>
      <w:r>
        <w:rPr>
          <w:rFonts w:hint="eastAsia" w:ascii="宋体" w:hAnsi="宋体" w:cs="宋体"/>
          <w:sz w:val="24"/>
          <w:szCs w:val="24"/>
          <w:lang w:eastAsia="zh-CN"/>
        </w:rPr>
        <w:t>产品</w:t>
      </w:r>
      <w:r>
        <w:rPr>
          <w:rFonts w:hint="eastAsia" w:ascii="宋体" w:hAnsi="宋体" w:eastAsia="宋体" w:cs="宋体"/>
          <w:sz w:val="24"/>
          <w:szCs w:val="24"/>
        </w:rPr>
        <w:t>的合法有效证件。乙方提供的</w:t>
      </w:r>
      <w:r>
        <w:rPr>
          <w:rFonts w:hint="eastAsia" w:ascii="宋体" w:hAnsi="宋体" w:cs="宋体"/>
          <w:sz w:val="24"/>
          <w:szCs w:val="24"/>
          <w:lang w:val="en-US" w:eastAsia="zh-CN"/>
        </w:rPr>
        <w:t>产品</w:t>
      </w:r>
      <w:r>
        <w:rPr>
          <w:rFonts w:hint="eastAsia" w:ascii="宋体" w:hAnsi="宋体" w:eastAsia="宋体" w:cs="宋体"/>
          <w:sz w:val="24"/>
          <w:szCs w:val="24"/>
        </w:rPr>
        <w:t>必须符合国家</w:t>
      </w:r>
      <w:r>
        <w:rPr>
          <w:rFonts w:hint="eastAsia" w:ascii="宋体" w:hAnsi="宋体" w:cs="宋体"/>
          <w:sz w:val="24"/>
          <w:szCs w:val="24"/>
          <w:lang w:val="en-US" w:eastAsia="zh-CN"/>
        </w:rPr>
        <w:t>或行业</w:t>
      </w:r>
      <w:r>
        <w:rPr>
          <w:rFonts w:hint="eastAsia" w:ascii="宋体" w:hAnsi="宋体" w:eastAsia="宋体" w:cs="宋体"/>
          <w:sz w:val="24"/>
          <w:szCs w:val="24"/>
        </w:rPr>
        <w:t>相关文件要求。</w:t>
      </w:r>
    </w:p>
    <w:p w14:paraId="1EE09CB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（三）乙方应当确保与甲方成交的</w:t>
      </w:r>
      <w:r>
        <w:rPr>
          <w:rFonts w:hint="eastAsia" w:ascii="宋体" w:hAnsi="宋体" w:cs="宋体"/>
          <w:sz w:val="24"/>
          <w:szCs w:val="24"/>
          <w:lang w:eastAsia="zh-CN"/>
        </w:rPr>
        <w:t>产品</w:t>
      </w:r>
      <w:r>
        <w:rPr>
          <w:rFonts w:hint="eastAsia" w:ascii="宋体" w:hAnsi="宋体" w:eastAsia="宋体" w:cs="宋体"/>
          <w:sz w:val="24"/>
          <w:szCs w:val="24"/>
        </w:rPr>
        <w:t>，不存在第三方提出的侵犯其专利权、商标权或保护期、以及侵犯第三方权利的其他情形。</w:t>
      </w:r>
    </w:p>
    <w:p w14:paraId="478172C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（四）如遇第三方查扣或抽检，乙方对查扣或抽检</w:t>
      </w:r>
      <w:r>
        <w:rPr>
          <w:rFonts w:hint="eastAsia" w:ascii="宋体" w:hAnsi="宋体" w:cs="宋体"/>
          <w:sz w:val="24"/>
          <w:szCs w:val="24"/>
          <w:lang w:eastAsia="zh-CN"/>
        </w:rPr>
        <w:t>产品</w:t>
      </w:r>
      <w:r>
        <w:rPr>
          <w:rFonts w:hint="eastAsia" w:ascii="宋体" w:hAnsi="宋体" w:eastAsia="宋体" w:cs="宋体"/>
          <w:sz w:val="24"/>
          <w:szCs w:val="24"/>
        </w:rPr>
        <w:t>负全责。</w:t>
      </w:r>
    </w:p>
    <w:p w14:paraId="0FEC32D5">
      <w:pPr>
        <w:spacing w:line="560" w:lineRule="exact"/>
        <w:ind w:firstLine="475" w:firstLineChars="198"/>
        <w:rPr>
          <w:rFonts w:hint="eastAsia" w:ascii="宋体" w:hAnsi="宋体" w:eastAsia="宋体" w:cs="宋体"/>
          <w:sz w:val="24"/>
          <w:szCs w:val="24"/>
          <w:lang w:val="zh-CN"/>
        </w:rPr>
      </w:pPr>
      <w:r>
        <w:rPr>
          <w:rFonts w:hint="eastAsia" w:ascii="宋体" w:hAnsi="宋体" w:eastAsia="宋体" w:cs="宋体"/>
          <w:sz w:val="24"/>
          <w:szCs w:val="24"/>
        </w:rPr>
        <w:t xml:space="preserve">第四条 </w:t>
      </w:r>
      <w:r>
        <w:rPr>
          <w:rFonts w:hint="eastAsia" w:ascii="宋体" w:hAnsi="宋体" w:cs="宋体"/>
          <w:sz w:val="24"/>
          <w:szCs w:val="24"/>
          <w:lang w:eastAsia="zh-CN"/>
        </w:rPr>
        <w:t>产品</w:t>
      </w:r>
      <w:r>
        <w:rPr>
          <w:rFonts w:hint="eastAsia" w:ascii="宋体" w:hAnsi="宋体" w:eastAsia="宋体" w:cs="宋体"/>
          <w:sz w:val="24"/>
          <w:szCs w:val="24"/>
        </w:rPr>
        <w:t>包装标准</w:t>
      </w:r>
      <w:r>
        <w:rPr>
          <w:rFonts w:hint="eastAsia" w:ascii="宋体" w:hAnsi="宋体" w:eastAsia="宋体" w:cs="宋体"/>
          <w:sz w:val="24"/>
          <w:szCs w:val="24"/>
          <w:lang w:val="zh-CN"/>
        </w:rPr>
        <w:t xml:space="preserve"> </w:t>
      </w:r>
    </w:p>
    <w:p w14:paraId="7A8FFC3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（一）除非对包装另有规定，乙方提供全部</w:t>
      </w:r>
      <w:r>
        <w:rPr>
          <w:rFonts w:hint="eastAsia" w:ascii="宋体" w:hAnsi="宋体" w:cs="宋体"/>
          <w:sz w:val="24"/>
          <w:szCs w:val="24"/>
          <w:lang w:eastAsia="zh-CN"/>
        </w:rPr>
        <w:t>产品</w:t>
      </w:r>
      <w:r>
        <w:rPr>
          <w:rFonts w:hint="eastAsia" w:ascii="宋体" w:hAnsi="宋体" w:eastAsia="宋体" w:cs="宋体"/>
          <w:sz w:val="24"/>
          <w:szCs w:val="24"/>
        </w:rPr>
        <w:t>应按国家标准保护措施进行包装，防止</w:t>
      </w:r>
      <w:r>
        <w:rPr>
          <w:rFonts w:hint="eastAsia" w:ascii="宋体" w:hAnsi="宋体" w:cs="宋体"/>
          <w:sz w:val="24"/>
          <w:szCs w:val="24"/>
          <w:lang w:eastAsia="zh-CN"/>
        </w:rPr>
        <w:t>产品</w:t>
      </w:r>
      <w:r>
        <w:rPr>
          <w:rFonts w:hint="eastAsia" w:ascii="宋体" w:hAnsi="宋体" w:eastAsia="宋体" w:cs="宋体"/>
          <w:sz w:val="24"/>
          <w:szCs w:val="24"/>
        </w:rPr>
        <w:t>在转运中损坏或变质，确保</w:t>
      </w:r>
      <w:r>
        <w:rPr>
          <w:rFonts w:hint="eastAsia" w:ascii="宋体" w:hAnsi="宋体" w:cs="宋体"/>
          <w:sz w:val="24"/>
          <w:szCs w:val="24"/>
          <w:lang w:eastAsia="zh-CN"/>
        </w:rPr>
        <w:t>产品</w:t>
      </w:r>
      <w:r>
        <w:rPr>
          <w:rFonts w:hint="eastAsia" w:ascii="宋体" w:hAnsi="宋体" w:eastAsia="宋体" w:cs="宋体"/>
          <w:sz w:val="24"/>
          <w:szCs w:val="24"/>
        </w:rPr>
        <w:t>安全无损运抵指定地点。</w:t>
      </w:r>
    </w:p>
    <w:p w14:paraId="4608ABE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（二）包装标记和包装箱内外的单据应符合相关要求。</w:t>
      </w:r>
    </w:p>
    <w:p w14:paraId="44BB26A9">
      <w:pPr>
        <w:spacing w:line="560" w:lineRule="exact"/>
        <w:ind w:firstLine="475" w:firstLineChars="198"/>
        <w:rPr>
          <w:rFonts w:hint="eastAsia" w:ascii="宋体" w:hAnsi="宋体" w:eastAsia="宋体" w:cs="宋体"/>
          <w:sz w:val="24"/>
          <w:szCs w:val="24"/>
        </w:rPr>
      </w:pPr>
      <w:r>
        <w:rPr>
          <w:rFonts w:hint="eastAsia" w:ascii="宋体" w:hAnsi="宋体" w:eastAsia="宋体" w:cs="宋体"/>
          <w:sz w:val="24"/>
          <w:szCs w:val="24"/>
        </w:rPr>
        <w:t xml:space="preserve">第五条 </w:t>
      </w:r>
      <w:r>
        <w:rPr>
          <w:rFonts w:hint="eastAsia" w:ascii="宋体" w:hAnsi="宋体" w:cs="宋体"/>
          <w:sz w:val="24"/>
          <w:szCs w:val="24"/>
          <w:lang w:eastAsia="zh-CN"/>
        </w:rPr>
        <w:t>产品</w:t>
      </w:r>
      <w:r>
        <w:rPr>
          <w:rFonts w:hint="eastAsia" w:ascii="宋体" w:hAnsi="宋体" w:eastAsia="宋体" w:cs="宋体"/>
          <w:sz w:val="24"/>
          <w:szCs w:val="24"/>
        </w:rPr>
        <w:t>验收管理</w:t>
      </w:r>
    </w:p>
    <w:p w14:paraId="688F79CE">
      <w:pPr>
        <w:spacing w:line="560" w:lineRule="exact"/>
        <w:ind w:firstLine="475" w:firstLineChars="198"/>
        <w:rPr>
          <w:rFonts w:hint="eastAsia" w:ascii="宋体" w:hAnsi="宋体" w:eastAsia="宋体" w:cs="宋体"/>
          <w:sz w:val="24"/>
          <w:szCs w:val="24"/>
        </w:rPr>
      </w:pPr>
      <w:r>
        <w:rPr>
          <w:rFonts w:hint="eastAsia" w:ascii="宋体" w:hAnsi="宋体" w:eastAsia="宋体" w:cs="宋体"/>
          <w:sz w:val="24"/>
          <w:szCs w:val="24"/>
        </w:rPr>
        <w:t>按国家或行业制定的相应的标准执行。</w:t>
      </w:r>
    </w:p>
    <w:p w14:paraId="685D788C">
      <w:pPr>
        <w:spacing w:line="560" w:lineRule="exact"/>
        <w:ind w:firstLine="475" w:firstLineChars="198"/>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甲方</w:t>
      </w:r>
      <w:r>
        <w:rPr>
          <w:rFonts w:hint="eastAsia" w:ascii="宋体" w:hAnsi="宋体" w:eastAsia="宋体" w:cs="宋体"/>
          <w:sz w:val="24"/>
          <w:szCs w:val="24"/>
        </w:rPr>
        <w:t>应在产品到货且接到</w:t>
      </w:r>
      <w:r>
        <w:rPr>
          <w:rFonts w:hint="eastAsia" w:ascii="宋体" w:hAnsi="宋体" w:cs="宋体"/>
          <w:sz w:val="24"/>
          <w:szCs w:val="24"/>
          <w:lang w:val="en-US" w:eastAsia="zh-CN"/>
        </w:rPr>
        <w:t>乙方</w:t>
      </w:r>
      <w:r>
        <w:rPr>
          <w:rFonts w:hint="eastAsia" w:ascii="宋体" w:hAnsi="宋体" w:eastAsia="宋体" w:cs="宋体"/>
          <w:sz w:val="24"/>
          <w:szCs w:val="24"/>
        </w:rPr>
        <w:t>书面随货同行单后当日内验收;</w:t>
      </w:r>
      <w:r>
        <w:rPr>
          <w:rFonts w:hint="eastAsia" w:ascii="宋体" w:hAnsi="宋体" w:cs="宋体"/>
          <w:sz w:val="24"/>
          <w:szCs w:val="24"/>
          <w:lang w:val="en-US" w:eastAsia="zh-CN"/>
        </w:rPr>
        <w:t>甲方</w:t>
      </w:r>
      <w:r>
        <w:rPr>
          <w:rFonts w:hint="eastAsia" w:ascii="宋体" w:hAnsi="宋体" w:eastAsia="宋体" w:cs="宋体"/>
          <w:sz w:val="24"/>
          <w:szCs w:val="24"/>
        </w:rPr>
        <w:t>耗材主管部门与</w:t>
      </w:r>
      <w:r>
        <w:rPr>
          <w:rFonts w:hint="eastAsia" w:ascii="宋体" w:hAnsi="宋体" w:cs="宋体"/>
          <w:sz w:val="24"/>
          <w:szCs w:val="24"/>
          <w:lang w:val="en-US" w:eastAsia="zh-CN"/>
        </w:rPr>
        <w:t>乙方</w:t>
      </w:r>
      <w:r>
        <w:rPr>
          <w:rFonts w:hint="eastAsia" w:ascii="宋体" w:hAnsi="宋体" w:eastAsia="宋体" w:cs="宋体"/>
          <w:sz w:val="24"/>
          <w:szCs w:val="24"/>
        </w:rPr>
        <w:t>共同验收。对耗材进行数量、质量等验收，验收合格后，</w:t>
      </w:r>
      <w:r>
        <w:rPr>
          <w:rFonts w:hint="eastAsia" w:ascii="宋体" w:hAnsi="宋体" w:cs="宋体"/>
          <w:sz w:val="24"/>
          <w:szCs w:val="24"/>
          <w:lang w:val="en-US" w:eastAsia="zh-CN"/>
        </w:rPr>
        <w:t>甲方</w:t>
      </w:r>
      <w:r>
        <w:rPr>
          <w:rFonts w:hint="eastAsia" w:ascii="宋体" w:hAnsi="宋体" w:eastAsia="宋体" w:cs="宋体"/>
          <w:sz w:val="24"/>
          <w:szCs w:val="24"/>
        </w:rPr>
        <w:t>验收人在随货同行单上签字确认。</w:t>
      </w:r>
    </w:p>
    <w:p w14:paraId="53252E7F">
      <w:pPr>
        <w:spacing w:line="560" w:lineRule="exact"/>
        <w:ind w:firstLine="475" w:firstLineChars="198"/>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cs="宋体"/>
          <w:sz w:val="24"/>
          <w:szCs w:val="24"/>
          <w:lang w:val="en-US" w:eastAsia="zh-CN"/>
        </w:rPr>
        <w:t>乙方</w:t>
      </w:r>
      <w:r>
        <w:rPr>
          <w:rFonts w:hint="eastAsia" w:ascii="宋体" w:hAnsi="宋体" w:eastAsia="宋体" w:cs="宋体"/>
          <w:sz w:val="24"/>
          <w:szCs w:val="24"/>
        </w:rPr>
        <w:t>在接到</w:t>
      </w:r>
      <w:r>
        <w:rPr>
          <w:rFonts w:hint="eastAsia" w:ascii="宋体" w:hAnsi="宋体" w:cs="宋体"/>
          <w:sz w:val="24"/>
          <w:szCs w:val="24"/>
          <w:lang w:val="en-US" w:eastAsia="zh-CN"/>
        </w:rPr>
        <w:t>甲方</w:t>
      </w:r>
      <w:r>
        <w:rPr>
          <w:rFonts w:hint="eastAsia" w:ascii="宋体" w:hAnsi="宋体" w:eastAsia="宋体" w:cs="宋体"/>
          <w:sz w:val="24"/>
          <w:szCs w:val="24"/>
        </w:rPr>
        <w:t>书面异议之日起，应在两日内予以回复，否则，即视为默认</w:t>
      </w:r>
      <w:r>
        <w:rPr>
          <w:rFonts w:hint="eastAsia" w:ascii="宋体" w:hAnsi="宋体" w:cs="宋体"/>
          <w:sz w:val="24"/>
          <w:szCs w:val="24"/>
          <w:lang w:val="en-US" w:eastAsia="zh-CN"/>
        </w:rPr>
        <w:t>甲方</w:t>
      </w:r>
      <w:r>
        <w:rPr>
          <w:rFonts w:hint="eastAsia" w:ascii="宋体" w:hAnsi="宋体" w:eastAsia="宋体" w:cs="宋体"/>
          <w:sz w:val="24"/>
          <w:szCs w:val="24"/>
        </w:rPr>
        <w:t>提出的异议和处理意见。</w:t>
      </w:r>
    </w:p>
    <w:p w14:paraId="35D66E58">
      <w:pPr>
        <w:spacing w:line="560" w:lineRule="exact"/>
        <w:ind w:firstLine="475" w:firstLineChars="198"/>
        <w:rPr>
          <w:rFonts w:hint="eastAsia" w:ascii="宋体" w:hAnsi="宋体" w:eastAsia="宋体" w:cs="宋体"/>
          <w:sz w:val="24"/>
          <w:szCs w:val="24"/>
        </w:rPr>
      </w:pPr>
      <w:r>
        <w:rPr>
          <w:rFonts w:hint="eastAsia" w:ascii="宋体" w:hAnsi="宋体" w:eastAsia="宋体" w:cs="宋体"/>
          <w:sz w:val="24"/>
          <w:szCs w:val="24"/>
        </w:rPr>
        <w:t>(3)验收不合格的，</w:t>
      </w:r>
      <w:r>
        <w:rPr>
          <w:rFonts w:hint="eastAsia" w:ascii="宋体" w:hAnsi="宋体" w:cs="宋体"/>
          <w:sz w:val="24"/>
          <w:szCs w:val="24"/>
          <w:lang w:val="en-US" w:eastAsia="zh-CN"/>
        </w:rPr>
        <w:t>乙方</w:t>
      </w:r>
      <w:r>
        <w:rPr>
          <w:rFonts w:hint="eastAsia" w:ascii="宋体" w:hAnsi="宋体" w:eastAsia="宋体" w:cs="宋体"/>
          <w:sz w:val="24"/>
          <w:szCs w:val="24"/>
        </w:rPr>
        <w:t>负责更换为合格产品，因此产生的费用和给</w:t>
      </w:r>
      <w:r>
        <w:rPr>
          <w:rFonts w:hint="eastAsia" w:ascii="宋体" w:hAnsi="宋体" w:cs="宋体"/>
          <w:sz w:val="24"/>
          <w:szCs w:val="24"/>
          <w:lang w:val="en-US" w:eastAsia="zh-CN"/>
        </w:rPr>
        <w:t>甲方</w:t>
      </w:r>
      <w:r>
        <w:rPr>
          <w:rFonts w:hint="eastAsia" w:ascii="宋体" w:hAnsi="宋体" w:eastAsia="宋体" w:cs="宋体"/>
          <w:sz w:val="24"/>
          <w:szCs w:val="24"/>
        </w:rPr>
        <w:t>造成的损失均由</w:t>
      </w:r>
      <w:r>
        <w:rPr>
          <w:rFonts w:hint="eastAsia" w:ascii="宋体" w:hAnsi="宋体" w:cs="宋体"/>
          <w:sz w:val="24"/>
          <w:szCs w:val="24"/>
          <w:lang w:val="en-US" w:eastAsia="zh-CN"/>
        </w:rPr>
        <w:t>乙方</w:t>
      </w:r>
      <w:r>
        <w:rPr>
          <w:rFonts w:hint="eastAsia" w:ascii="宋体" w:hAnsi="宋体" w:eastAsia="宋体" w:cs="宋体"/>
          <w:sz w:val="24"/>
          <w:szCs w:val="24"/>
        </w:rPr>
        <w:t>负责。</w:t>
      </w:r>
    </w:p>
    <w:p w14:paraId="7A2EEDFF">
      <w:pPr>
        <w:spacing w:line="560" w:lineRule="exact"/>
        <w:ind w:firstLine="475" w:firstLineChars="198"/>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cs="宋体"/>
          <w:sz w:val="24"/>
          <w:szCs w:val="24"/>
          <w:lang w:val="en-US" w:eastAsia="zh-CN"/>
        </w:rPr>
        <w:t>乙方</w:t>
      </w:r>
      <w:r>
        <w:rPr>
          <w:rFonts w:hint="eastAsia" w:ascii="宋体" w:hAnsi="宋体" w:eastAsia="宋体" w:cs="宋体"/>
          <w:sz w:val="24"/>
          <w:szCs w:val="24"/>
        </w:rPr>
        <w:t>出售产品的毁损灭失风险，在</w:t>
      </w:r>
      <w:r>
        <w:rPr>
          <w:rFonts w:hint="eastAsia" w:ascii="宋体" w:hAnsi="宋体" w:cs="宋体"/>
          <w:sz w:val="24"/>
          <w:szCs w:val="24"/>
          <w:lang w:val="en-US" w:eastAsia="zh-CN"/>
        </w:rPr>
        <w:t>甲方</w:t>
      </w:r>
      <w:r>
        <w:rPr>
          <w:rFonts w:hint="eastAsia" w:ascii="宋体" w:hAnsi="宋体" w:eastAsia="宋体" w:cs="宋体"/>
          <w:sz w:val="24"/>
          <w:szCs w:val="24"/>
        </w:rPr>
        <w:t>验收合格并接收前，由</w:t>
      </w:r>
      <w:r>
        <w:rPr>
          <w:rFonts w:hint="eastAsia" w:ascii="宋体" w:hAnsi="宋体" w:cs="宋体"/>
          <w:sz w:val="24"/>
          <w:szCs w:val="24"/>
          <w:lang w:val="en-US" w:eastAsia="zh-CN"/>
        </w:rPr>
        <w:t>乙方</w:t>
      </w:r>
      <w:r>
        <w:rPr>
          <w:rFonts w:hint="eastAsia" w:ascii="宋体" w:hAnsi="宋体" w:eastAsia="宋体" w:cs="宋体"/>
          <w:sz w:val="24"/>
          <w:szCs w:val="24"/>
        </w:rPr>
        <w:t>承担。</w:t>
      </w:r>
    </w:p>
    <w:p w14:paraId="131F4E2B">
      <w:pPr>
        <w:spacing w:line="560" w:lineRule="exact"/>
        <w:ind w:firstLine="475" w:firstLineChars="198"/>
        <w:rPr>
          <w:rFonts w:hint="eastAsia" w:ascii="宋体" w:hAnsi="宋体" w:eastAsia="宋体" w:cs="宋体"/>
          <w:sz w:val="24"/>
          <w:szCs w:val="24"/>
          <w:lang w:val="zh-CN"/>
        </w:rPr>
      </w:pPr>
      <w:r>
        <w:rPr>
          <w:rFonts w:hint="eastAsia" w:ascii="宋体" w:hAnsi="宋体" w:eastAsia="宋体" w:cs="宋体"/>
          <w:sz w:val="24"/>
          <w:szCs w:val="24"/>
        </w:rPr>
        <w:t>第六条  交货时间及地点</w:t>
      </w:r>
      <w:r>
        <w:rPr>
          <w:rFonts w:hint="eastAsia" w:ascii="宋体" w:hAnsi="宋体" w:eastAsia="宋体" w:cs="宋体"/>
          <w:sz w:val="24"/>
          <w:szCs w:val="24"/>
          <w:lang w:val="zh-CN"/>
        </w:rPr>
        <w:t xml:space="preserve"> </w:t>
      </w:r>
    </w:p>
    <w:p w14:paraId="66EEE879">
      <w:pPr>
        <w:spacing w:line="56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（一）</w:t>
      </w:r>
      <w:r>
        <w:rPr>
          <w:rFonts w:hint="eastAsia" w:ascii="宋体" w:hAnsi="宋体" w:eastAsia="宋体" w:cs="宋体"/>
          <w:sz w:val="24"/>
          <w:szCs w:val="24"/>
          <w:lang w:val="en-US" w:eastAsia="zh-CN"/>
        </w:rPr>
        <w:t>接到</w:t>
      </w:r>
      <w:r>
        <w:rPr>
          <w:rFonts w:hint="eastAsia" w:ascii="宋体" w:hAnsi="宋体" w:cs="宋体"/>
          <w:sz w:val="24"/>
          <w:szCs w:val="24"/>
          <w:lang w:val="en-US" w:eastAsia="zh-CN"/>
        </w:rPr>
        <w:t>甲方</w:t>
      </w:r>
      <w:r>
        <w:rPr>
          <w:rFonts w:hint="eastAsia" w:ascii="宋体" w:hAnsi="宋体" w:eastAsia="宋体" w:cs="宋体"/>
          <w:sz w:val="24"/>
          <w:szCs w:val="24"/>
          <w:lang w:val="en-US" w:eastAsia="zh-CN"/>
        </w:rPr>
        <w:t>采购计划通知起48小时内交货，最长不超过72小时，特殊紧急医用</w:t>
      </w:r>
      <w:r>
        <w:rPr>
          <w:rFonts w:hint="eastAsia" w:ascii="宋体" w:hAnsi="宋体" w:cs="宋体"/>
          <w:sz w:val="24"/>
          <w:szCs w:val="24"/>
          <w:lang w:val="en-US" w:eastAsia="zh-CN"/>
        </w:rPr>
        <w:t>耗材</w:t>
      </w:r>
      <w:r>
        <w:rPr>
          <w:rFonts w:hint="eastAsia" w:ascii="宋体" w:hAnsi="宋体" w:eastAsia="宋体" w:cs="宋体"/>
          <w:sz w:val="24"/>
          <w:szCs w:val="24"/>
          <w:lang w:val="en-US" w:eastAsia="zh-CN"/>
        </w:rPr>
        <w:t>需24小时内配送达。</w:t>
      </w:r>
      <w:bookmarkStart w:id="0" w:name="_GoBack"/>
      <w:bookmarkEnd w:id="0"/>
    </w:p>
    <w:p w14:paraId="061C673E">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（二）交货地点：西安市雁塔区电子城社区卫生服务中心。</w:t>
      </w:r>
      <w:r>
        <w:rPr>
          <w:rFonts w:hint="eastAsia" w:ascii="宋体" w:hAnsi="宋体" w:eastAsia="宋体" w:cs="宋体"/>
          <w:sz w:val="24"/>
          <w:szCs w:val="24"/>
          <w:lang w:val="zh-CN"/>
        </w:rPr>
        <w:t xml:space="preserve"> </w:t>
      </w:r>
    </w:p>
    <w:p w14:paraId="1ACADAAC">
      <w:pPr>
        <w:spacing w:line="560" w:lineRule="exact"/>
        <w:ind w:firstLine="475" w:firstLineChars="198"/>
        <w:rPr>
          <w:rFonts w:hint="eastAsia" w:ascii="宋体" w:hAnsi="宋体" w:eastAsia="宋体" w:cs="宋体"/>
          <w:sz w:val="24"/>
          <w:szCs w:val="24"/>
          <w:lang w:val="zh-CN"/>
        </w:rPr>
      </w:pPr>
      <w:r>
        <w:rPr>
          <w:rFonts w:hint="eastAsia" w:ascii="宋体" w:hAnsi="宋体" w:eastAsia="宋体" w:cs="宋体"/>
          <w:sz w:val="24"/>
          <w:szCs w:val="24"/>
        </w:rPr>
        <w:t>第七条  结算方式及时间</w:t>
      </w:r>
      <w:r>
        <w:rPr>
          <w:rFonts w:hint="eastAsia" w:ascii="宋体" w:hAnsi="宋体" w:eastAsia="宋体" w:cs="宋体"/>
          <w:sz w:val="24"/>
          <w:szCs w:val="24"/>
          <w:lang w:val="zh-CN"/>
        </w:rPr>
        <w:t xml:space="preserve"> </w:t>
      </w:r>
    </w:p>
    <w:p w14:paraId="50777E9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（一）乙方应按有关要求向甲方提交对已交易</w:t>
      </w:r>
      <w:r>
        <w:rPr>
          <w:rFonts w:hint="eastAsia" w:ascii="宋体" w:hAnsi="宋体" w:cs="宋体"/>
          <w:sz w:val="24"/>
          <w:szCs w:val="24"/>
          <w:lang w:eastAsia="zh-CN"/>
        </w:rPr>
        <w:t>产品</w:t>
      </w:r>
      <w:r>
        <w:rPr>
          <w:rFonts w:hint="eastAsia" w:ascii="宋体" w:hAnsi="宋体" w:eastAsia="宋体" w:cs="宋体"/>
          <w:sz w:val="24"/>
          <w:szCs w:val="24"/>
        </w:rPr>
        <w:t xml:space="preserve">的发票等相关单据，以及合同规定的其他义务已经履行的证明。 </w:t>
      </w:r>
    </w:p>
    <w:p w14:paraId="3CB5213F">
      <w:pPr>
        <w:spacing w:line="560" w:lineRule="exact"/>
        <w:rPr>
          <w:rFonts w:hint="eastAsia" w:ascii="宋体" w:hAnsi="宋体" w:eastAsia="宋体" w:cs="宋体"/>
          <w:sz w:val="24"/>
          <w:szCs w:val="24"/>
        </w:rPr>
      </w:pPr>
      <w:r>
        <w:rPr>
          <w:rFonts w:hint="eastAsia" w:ascii="宋体" w:hAnsi="宋体" w:eastAsia="宋体" w:cs="宋体"/>
          <w:sz w:val="24"/>
          <w:szCs w:val="24"/>
        </w:rPr>
        <w:t xml:space="preserve">    （二）乙方向甲方提供的发票和有关单据不得违反国家税务机关等相关部门的规定，否则甲方有权拒付相应货款，乙方承担由此给甲方带来的一切损失。</w:t>
      </w:r>
    </w:p>
    <w:p w14:paraId="61E946D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（三）甲方验货确认后，核对交易单据及明细无误后，在收到乙方正式发票之日起按约定方式和时间向乙方付款。</w:t>
      </w:r>
    </w:p>
    <w:p w14:paraId="68EF2F18">
      <w:pPr>
        <w:spacing w:line="560" w:lineRule="exact"/>
        <w:ind w:firstLine="480" w:firstLineChars="200"/>
        <w:rPr>
          <w:rFonts w:hint="eastAsia" w:ascii="宋体" w:hAnsi="宋体" w:eastAsia="宋体" w:cs="宋体"/>
          <w:sz w:val="24"/>
          <w:szCs w:val="24"/>
          <w:lang w:val="zh-CN"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四</w:t>
      </w:r>
      <w:r>
        <w:rPr>
          <w:rFonts w:hint="eastAsia" w:ascii="宋体" w:hAnsi="宋体" w:eastAsia="宋体" w:cs="宋体"/>
          <w:sz w:val="24"/>
          <w:szCs w:val="24"/>
          <w:lang w:eastAsia="zh-CN"/>
        </w:rPr>
        <w:t>）</w:t>
      </w:r>
      <w:r>
        <w:rPr>
          <w:rFonts w:hint="eastAsia" w:ascii="宋体" w:hAnsi="宋体" w:eastAsia="宋体" w:cs="宋体"/>
          <w:sz w:val="24"/>
          <w:szCs w:val="24"/>
          <w:lang w:val="zh-CN" w:eastAsia="zh-CN"/>
        </w:rPr>
        <w:t>乙方按照所</w:t>
      </w:r>
      <w:r>
        <w:rPr>
          <w:rFonts w:hint="eastAsia" w:ascii="宋体" w:hAnsi="宋体" w:cs="宋体"/>
          <w:sz w:val="24"/>
          <w:szCs w:val="24"/>
          <w:lang w:val="en-US" w:eastAsia="zh-CN"/>
        </w:rPr>
        <w:t>产品</w:t>
      </w:r>
      <w:r>
        <w:rPr>
          <w:rFonts w:hint="eastAsia" w:ascii="宋体" w:hAnsi="宋体" w:eastAsia="宋体" w:cs="宋体"/>
          <w:sz w:val="24"/>
          <w:szCs w:val="24"/>
          <w:lang w:val="zh-CN" w:eastAsia="zh-CN"/>
        </w:rPr>
        <w:t>单价×实际数量结算，开出相对应的增值税专用发票，甲方在收到乙方正式发票之日起</w:t>
      </w:r>
      <w:r>
        <w:rPr>
          <w:rFonts w:hint="eastAsia" w:ascii="宋体" w:hAnsi="宋体" w:cs="宋体"/>
          <w:sz w:val="24"/>
          <w:szCs w:val="24"/>
          <w:lang w:val="en-US" w:eastAsia="zh-CN"/>
        </w:rPr>
        <w:t>15天内</w:t>
      </w:r>
      <w:r>
        <w:rPr>
          <w:rFonts w:hint="eastAsia" w:ascii="宋体" w:hAnsi="宋体" w:eastAsia="宋体" w:cs="宋体"/>
          <w:sz w:val="24"/>
          <w:szCs w:val="24"/>
          <w:lang w:val="zh-CN" w:eastAsia="zh-CN"/>
        </w:rPr>
        <w:t>经财务处以转账形式给付货款。</w:t>
      </w:r>
    </w:p>
    <w:p w14:paraId="4D30ACF2">
      <w:pPr>
        <w:spacing w:line="560" w:lineRule="exact"/>
        <w:ind w:firstLine="475" w:firstLineChars="198"/>
        <w:rPr>
          <w:rFonts w:hint="eastAsia" w:ascii="宋体" w:hAnsi="宋体" w:eastAsia="宋体" w:cs="宋体"/>
          <w:sz w:val="24"/>
          <w:szCs w:val="24"/>
          <w:lang w:val="zh-CN"/>
        </w:rPr>
      </w:pPr>
      <w:r>
        <w:rPr>
          <w:rFonts w:hint="eastAsia" w:ascii="宋体" w:hAnsi="宋体" w:eastAsia="宋体" w:cs="宋体"/>
          <w:sz w:val="24"/>
          <w:szCs w:val="24"/>
        </w:rPr>
        <w:t>第八条  合同解除条件及处理方式</w:t>
      </w:r>
      <w:r>
        <w:rPr>
          <w:rFonts w:hint="eastAsia" w:ascii="宋体" w:hAnsi="宋体" w:eastAsia="宋体" w:cs="宋体"/>
          <w:sz w:val="24"/>
          <w:szCs w:val="24"/>
          <w:lang w:val="zh-CN"/>
        </w:rPr>
        <w:t xml:space="preserve"> </w:t>
      </w:r>
    </w:p>
    <w:p w14:paraId="1E2F01C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（一）违约终止合同 </w:t>
      </w:r>
    </w:p>
    <w:p w14:paraId="237AB85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发生下列情况，甲方可向乙方发出书面通知书，提出部分或全部终止合同。</w:t>
      </w:r>
    </w:p>
    <w:p w14:paraId="7F23D2E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1、乙方未能在合同规定的限期或甲方同意延长的限期内提供部分或全部</w:t>
      </w:r>
      <w:r>
        <w:rPr>
          <w:rFonts w:hint="eastAsia" w:ascii="宋体" w:hAnsi="宋体" w:cs="宋体"/>
          <w:sz w:val="24"/>
          <w:szCs w:val="24"/>
          <w:lang w:eastAsia="zh-CN"/>
        </w:rPr>
        <w:t>产品</w:t>
      </w:r>
      <w:r>
        <w:rPr>
          <w:rFonts w:hint="eastAsia" w:ascii="宋体" w:hAnsi="宋体" w:eastAsia="宋体" w:cs="宋体"/>
          <w:sz w:val="24"/>
          <w:szCs w:val="24"/>
        </w:rPr>
        <w:t>；</w:t>
      </w:r>
    </w:p>
    <w:p w14:paraId="6B44994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2、乙方未能履行合同规定的义务；</w:t>
      </w:r>
    </w:p>
    <w:p w14:paraId="4727A6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3、乙方在本合同的实施过程中有违法、违规行为。 </w:t>
      </w:r>
    </w:p>
    <w:p w14:paraId="5B87EE8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（二）乙方破产终止合同</w:t>
      </w:r>
    </w:p>
    <w:p w14:paraId="6ADE901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如果乙方破产，甲方可在任何时候以书面形式通知乙方，提出终止合同而不给乙方补偿。该终止合同将不损害或影响甲方已经采取或将要采取的任何行动或补救措施的权利。</w:t>
      </w:r>
    </w:p>
    <w:p w14:paraId="254B356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（三）解除合同后的处理方式</w:t>
      </w:r>
    </w:p>
    <w:p w14:paraId="42470A9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甲方根据上述规定，终止了全部或部分合同后，有权要求乙方继续执行合同中未终止的部分。 </w:t>
      </w:r>
    </w:p>
    <w:p w14:paraId="0E4477BD">
      <w:pPr>
        <w:spacing w:line="560" w:lineRule="exact"/>
        <w:ind w:firstLine="475" w:firstLineChars="198"/>
        <w:rPr>
          <w:rFonts w:hint="eastAsia" w:ascii="宋体" w:hAnsi="宋体" w:eastAsia="宋体" w:cs="宋体"/>
          <w:sz w:val="24"/>
          <w:szCs w:val="24"/>
        </w:rPr>
      </w:pPr>
      <w:r>
        <w:rPr>
          <w:rFonts w:hint="eastAsia" w:ascii="宋体" w:hAnsi="宋体" w:eastAsia="宋体" w:cs="宋体"/>
          <w:sz w:val="24"/>
          <w:szCs w:val="24"/>
        </w:rPr>
        <w:t xml:space="preserve">第九条 违约责任 </w:t>
      </w:r>
    </w:p>
    <w:p w14:paraId="2AA589F6">
      <w:pPr>
        <w:spacing w:line="560" w:lineRule="exact"/>
        <w:ind w:firstLine="475" w:firstLineChars="198"/>
        <w:rPr>
          <w:rFonts w:hint="eastAsia" w:ascii="宋体" w:hAnsi="宋体" w:eastAsia="宋体" w:cs="宋体"/>
          <w:sz w:val="24"/>
          <w:szCs w:val="24"/>
          <w:lang w:val="zh-CN"/>
        </w:rPr>
      </w:pPr>
      <w:r>
        <w:rPr>
          <w:rFonts w:hint="eastAsia" w:ascii="宋体" w:hAnsi="宋体" w:eastAsia="宋体" w:cs="宋体"/>
          <w:sz w:val="24"/>
          <w:szCs w:val="24"/>
          <w:lang w:val="zh-CN"/>
        </w:rPr>
        <w:t>（一）按《</w:t>
      </w:r>
      <w:r>
        <w:rPr>
          <w:rFonts w:hint="eastAsia" w:ascii="宋体" w:hAnsi="宋体" w:eastAsia="宋体" w:cs="宋体"/>
          <w:sz w:val="24"/>
          <w:szCs w:val="24"/>
        </w:rPr>
        <w:t>中华人民共和国民法典</w:t>
      </w:r>
      <w:r>
        <w:rPr>
          <w:rFonts w:hint="eastAsia" w:ascii="宋体" w:hAnsi="宋体" w:eastAsia="宋体" w:cs="宋体"/>
          <w:sz w:val="24"/>
          <w:szCs w:val="24"/>
          <w:lang w:val="zh-CN"/>
        </w:rPr>
        <w:t>》中的相关条款执行。乙方未按合同要求提供产品质量不能满足相关要求的，甲方有权终止合同，并保留追究乙方违约责任的权利。</w:t>
      </w:r>
    </w:p>
    <w:p w14:paraId="1632676D">
      <w:pPr>
        <w:spacing w:line="560" w:lineRule="exact"/>
        <w:ind w:firstLine="475" w:firstLineChars="198"/>
        <w:rPr>
          <w:rFonts w:hint="eastAsia" w:ascii="宋体" w:hAnsi="宋体" w:eastAsia="宋体" w:cs="宋体"/>
          <w:sz w:val="24"/>
          <w:szCs w:val="24"/>
          <w:lang w:val="zh-CN"/>
        </w:rPr>
      </w:pPr>
      <w:r>
        <w:rPr>
          <w:rFonts w:hint="eastAsia" w:ascii="宋体" w:hAnsi="宋体" w:eastAsia="宋体" w:cs="宋体"/>
          <w:sz w:val="24"/>
          <w:szCs w:val="24"/>
          <w:lang w:val="zh-CN"/>
        </w:rPr>
        <w:t>（二）甲方发出订单通知后乙方拒绝供货的，乙方应向甲方支付拒绝供货部分货款10%的违约金，还应继续履行供货义务，甲方因上述原因而通过其他途径购买</w:t>
      </w:r>
      <w:r>
        <w:rPr>
          <w:rFonts w:hint="eastAsia" w:ascii="宋体" w:hAnsi="宋体" w:cs="宋体"/>
          <w:sz w:val="24"/>
          <w:szCs w:val="24"/>
          <w:lang w:val="zh-CN"/>
        </w:rPr>
        <w:t>产品</w:t>
      </w:r>
      <w:r>
        <w:rPr>
          <w:rFonts w:hint="eastAsia" w:ascii="宋体" w:hAnsi="宋体" w:eastAsia="宋体" w:cs="宋体"/>
          <w:sz w:val="24"/>
          <w:szCs w:val="24"/>
          <w:lang w:val="zh-CN"/>
        </w:rPr>
        <w:t>所产生的费用及其他损失，乙方应按甲方的实际损失赔偿。</w:t>
      </w:r>
    </w:p>
    <w:p w14:paraId="03C4787F">
      <w:pPr>
        <w:spacing w:line="560" w:lineRule="exact"/>
        <w:ind w:firstLine="475" w:firstLineChars="198"/>
        <w:rPr>
          <w:rFonts w:hint="eastAsia" w:ascii="宋体" w:hAnsi="宋体" w:eastAsia="宋体" w:cs="宋体"/>
          <w:sz w:val="24"/>
          <w:szCs w:val="24"/>
          <w:lang w:val="zh-CN"/>
        </w:rPr>
      </w:pPr>
      <w:r>
        <w:rPr>
          <w:rFonts w:hint="eastAsia" w:ascii="宋体" w:hAnsi="宋体" w:eastAsia="宋体" w:cs="宋体"/>
          <w:sz w:val="24"/>
          <w:szCs w:val="24"/>
          <w:lang w:val="zh-CN"/>
        </w:rPr>
        <w:t>（三）乙方除不可抗力原因外逾期供货的，按逾期供货部分货款计算，每延误一周须向甲方支付5%的违约金，直至提供货物服务为止</w:t>
      </w:r>
      <w:r>
        <w:rPr>
          <w:rFonts w:hint="eastAsia" w:ascii="宋体" w:hAnsi="宋体" w:cs="宋体"/>
          <w:sz w:val="24"/>
          <w:szCs w:val="24"/>
          <w:lang w:val="zh-CN"/>
        </w:rPr>
        <w:t>。</w:t>
      </w:r>
    </w:p>
    <w:p w14:paraId="7F53D23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（四）不可抗力违约的约定</w:t>
      </w:r>
    </w:p>
    <w:p w14:paraId="6341259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1、本条所述的“不可抗力”是指受影响方无法控制、不可预见的事件，包括战争、严重火灾、洪水、台风、地震及其他三方认可的事件，不包括故意违约或疏忽。</w:t>
      </w:r>
    </w:p>
    <w:p w14:paraId="42E5486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在不可抗力事件发生后，受影响方应尽快以书面形式将不可抗力情况和原因通知签约方。受影响方应尽实际可能继续履行合同义务，以及寻求采取合理的方案履行不受不可抗力影响的其他事项。不可抗力事件影响消除后，可通过协商在合理的时间内达成进一步履行合同的协议。</w:t>
      </w:r>
    </w:p>
    <w:p w14:paraId="306F9BA6">
      <w:pPr>
        <w:tabs>
          <w:tab w:val="left" w:pos="5245"/>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3、在履行合同过程中，如果乙方因不可抗力造成不能按时配送</w:t>
      </w:r>
      <w:r>
        <w:rPr>
          <w:rFonts w:hint="eastAsia" w:ascii="宋体" w:hAnsi="宋体" w:cs="宋体"/>
          <w:sz w:val="24"/>
          <w:szCs w:val="24"/>
          <w:lang w:eastAsia="zh-CN"/>
        </w:rPr>
        <w:t>产品</w:t>
      </w:r>
      <w:r>
        <w:rPr>
          <w:rFonts w:hint="eastAsia" w:ascii="宋体" w:hAnsi="宋体" w:eastAsia="宋体" w:cs="宋体"/>
          <w:sz w:val="24"/>
          <w:szCs w:val="24"/>
        </w:rPr>
        <w:t xml:space="preserve">和提供相应伴随服务情况时，应及时以书面形式将拖延的事实、可能拖延的时间和原因通知甲方。甲方在收到乙方通知后，应尽快核实情况，并由甲方确定是否酌情延长交货时间，以及是否收取违约金或终止合同。甲方可酌情变更配送企业。 </w:t>
      </w:r>
    </w:p>
    <w:p w14:paraId="508DD5E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第十条 合同争议解决方式 </w:t>
      </w:r>
    </w:p>
    <w:p w14:paraId="754D9A4E">
      <w:pPr>
        <w:spacing w:line="560" w:lineRule="exact"/>
        <w:ind w:firstLine="475" w:firstLineChars="198"/>
        <w:rPr>
          <w:rFonts w:hint="eastAsia" w:ascii="宋体" w:hAnsi="宋体" w:eastAsia="宋体" w:cs="宋体"/>
          <w:sz w:val="24"/>
          <w:szCs w:val="24"/>
        </w:rPr>
      </w:pPr>
      <w:r>
        <w:rPr>
          <w:rFonts w:hint="eastAsia" w:ascii="宋体" w:hAnsi="宋体" w:eastAsia="宋体" w:cs="宋体"/>
          <w:sz w:val="24"/>
          <w:szCs w:val="24"/>
          <w:lang w:eastAsia="zh-CN"/>
        </w:rPr>
        <w:t>甲方</w:t>
      </w:r>
      <w:r>
        <w:rPr>
          <w:rFonts w:hint="eastAsia" w:ascii="宋体" w:hAnsi="宋体" w:eastAsia="宋体" w:cs="宋体"/>
          <w:sz w:val="24"/>
          <w:szCs w:val="24"/>
        </w:rPr>
        <w:t>和</w:t>
      </w:r>
      <w:r>
        <w:rPr>
          <w:rFonts w:hint="eastAsia" w:ascii="宋体" w:hAnsi="宋体" w:eastAsia="宋体" w:cs="宋体"/>
          <w:sz w:val="24"/>
          <w:szCs w:val="24"/>
          <w:lang w:eastAsia="zh-CN"/>
        </w:rPr>
        <w:t>乙方</w:t>
      </w:r>
      <w:r>
        <w:rPr>
          <w:rFonts w:hint="eastAsia" w:ascii="宋体" w:hAnsi="宋体" w:eastAsia="宋体" w:cs="宋体"/>
          <w:sz w:val="24"/>
          <w:szCs w:val="24"/>
        </w:rPr>
        <w:t>履行合同时发生争议，可以和解或者向有关部门或机构申请调解。当事人不愿和解、调解或者和解、调解不成的，双方可以在本合同约定以下一种方式解决争议：</w:t>
      </w:r>
    </w:p>
    <w:p w14:paraId="10E82A37">
      <w:pPr>
        <w:spacing w:line="560" w:lineRule="exact"/>
        <w:ind w:firstLine="475" w:firstLineChars="198"/>
        <w:rPr>
          <w:rFonts w:hint="eastAsia" w:ascii="宋体" w:hAnsi="宋体" w:eastAsia="宋体" w:cs="宋体"/>
          <w:sz w:val="24"/>
          <w:szCs w:val="24"/>
        </w:rPr>
      </w:pPr>
      <w:r>
        <w:rPr>
          <w:rFonts w:hint="eastAsia" w:ascii="宋体" w:hAnsi="宋体" w:eastAsia="宋体" w:cs="宋体"/>
          <w:sz w:val="24"/>
          <w:szCs w:val="24"/>
        </w:rPr>
        <w:t>（1）双方达成仲裁协议，向约定的仲裁委员会申请仲裁；</w:t>
      </w:r>
    </w:p>
    <w:p w14:paraId="588ABCC4">
      <w:pPr>
        <w:spacing w:line="560" w:lineRule="exact"/>
        <w:ind w:firstLine="475" w:firstLineChars="198"/>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zh-CN"/>
        </w:rPr>
        <w:t xml:space="preserve">依法向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lang w:val="en-US" w:eastAsia="zh-CN"/>
        </w:rPr>
        <w:t xml:space="preserve">甲方所在地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 xml:space="preserve"> 人民法院提起诉讼。</w:t>
      </w:r>
    </w:p>
    <w:p w14:paraId="1D55E0B3">
      <w:pPr>
        <w:spacing w:line="560" w:lineRule="exact"/>
        <w:ind w:firstLine="475" w:firstLineChars="198"/>
        <w:rPr>
          <w:rFonts w:hint="eastAsia" w:ascii="宋体" w:hAnsi="宋体" w:eastAsia="宋体" w:cs="宋体"/>
          <w:sz w:val="24"/>
          <w:szCs w:val="24"/>
          <w:lang w:val="zh-CN"/>
        </w:rPr>
      </w:pPr>
      <w:r>
        <w:rPr>
          <w:rFonts w:hint="eastAsia" w:ascii="宋体" w:hAnsi="宋体" w:eastAsia="宋体" w:cs="宋体"/>
          <w:sz w:val="24"/>
          <w:szCs w:val="24"/>
        </w:rPr>
        <w:t>第十一条 其它约定事项</w:t>
      </w:r>
      <w:r>
        <w:rPr>
          <w:rFonts w:hint="eastAsia" w:ascii="宋体" w:hAnsi="宋体" w:eastAsia="宋体" w:cs="宋体"/>
          <w:sz w:val="24"/>
          <w:szCs w:val="24"/>
          <w:lang w:val="zh-CN"/>
        </w:rPr>
        <w:t xml:space="preserve"> </w:t>
      </w:r>
    </w:p>
    <w:p w14:paraId="7BEC1626">
      <w:pPr>
        <w:spacing w:line="560" w:lineRule="exact"/>
        <w:ind w:firstLine="475" w:firstLineChars="198"/>
        <w:rPr>
          <w:rFonts w:hint="default" w:ascii="宋体" w:hAnsi="宋体" w:eastAsia="宋体" w:cs="宋体"/>
          <w:sz w:val="24"/>
          <w:szCs w:val="24"/>
          <w:u w:val="single"/>
          <w:lang w:val="en-US" w:eastAsia="zh-CN"/>
        </w:rPr>
      </w:pPr>
      <w:r>
        <w:rPr>
          <w:rFonts w:hint="eastAsia" w:ascii="宋体" w:hAnsi="宋体" w:cs="宋体"/>
          <w:sz w:val="24"/>
          <w:szCs w:val="24"/>
          <w:u w:val="single"/>
          <w:lang w:val="en-US" w:eastAsia="zh-CN"/>
        </w:rPr>
        <w:t xml:space="preserve">      /         </w:t>
      </w:r>
    </w:p>
    <w:p w14:paraId="63276B4C">
      <w:pPr>
        <w:tabs>
          <w:tab w:val="left" w:pos="5245"/>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第十二条 甲乙双方在</w:t>
      </w:r>
      <w:r>
        <w:rPr>
          <w:rFonts w:hint="eastAsia" w:ascii="宋体" w:hAnsi="宋体" w:cs="宋体"/>
          <w:sz w:val="24"/>
          <w:szCs w:val="24"/>
          <w:lang w:eastAsia="zh-CN"/>
        </w:rPr>
        <w:t>产品</w:t>
      </w:r>
      <w:r>
        <w:rPr>
          <w:rFonts w:hint="eastAsia" w:ascii="宋体" w:hAnsi="宋体" w:eastAsia="宋体" w:cs="宋体"/>
          <w:sz w:val="24"/>
          <w:szCs w:val="24"/>
        </w:rPr>
        <w:t>采购、配送、结算过程中，必须严格遵守国家法律、法规和有关反商业贿赂的规定，自觉服从行政管理部门的监督管理。</w:t>
      </w:r>
    </w:p>
    <w:p w14:paraId="7500A6C5">
      <w:pPr>
        <w:spacing w:line="5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第十三条 在法律规定时效期间，任何一方没有行使其权利或没有就对方违约行为采取任何行动，不应被视为对权利的放弃或对追究违约责任的放弃。任何一方放弃针对对方的任何权利或放弃追究对方的任何责任，应有书面放弃声明。</w:t>
      </w:r>
    </w:p>
    <w:p w14:paraId="4CD2B30C">
      <w:pPr>
        <w:spacing w:line="5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第十四条 除本合同的约定外，本合同未尽事项，可由双方另行协商并签订补充协议，补充协议成为本合同不可分割的一部分，补充协议与本合同具有同等法律效力。</w:t>
      </w:r>
    </w:p>
    <w:p w14:paraId="7E41641C">
      <w:pPr>
        <w:spacing w:line="5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第十五条 本合同一式伍份，具有相同法律效力,甲方执肆份，乙方执一份。本合同自双方签字盖章后生效，合同执行完毕自动失效。有效期至     年  月  日。</w:t>
      </w:r>
    </w:p>
    <w:p w14:paraId="3129A98B">
      <w:pPr>
        <w:spacing w:line="560" w:lineRule="exact"/>
        <w:ind w:firstLine="480" w:firstLineChars="200"/>
        <w:jc w:val="left"/>
        <w:rPr>
          <w:rFonts w:hint="eastAsia" w:ascii="宋体" w:hAnsi="宋体" w:eastAsia="宋体" w:cs="宋体"/>
          <w:sz w:val="24"/>
          <w:szCs w:val="24"/>
        </w:rPr>
      </w:pPr>
    </w:p>
    <w:p w14:paraId="601C96F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甲方：</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乙方：      </w:t>
      </w:r>
    </w:p>
    <w:p w14:paraId="4191364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地址：     </w:t>
      </w:r>
    </w:p>
    <w:p w14:paraId="3EAAEF4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电话：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电话：     </w:t>
      </w:r>
    </w:p>
    <w:p w14:paraId="2605BF0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法定代表人：                       法定代表人：  </w:t>
      </w:r>
    </w:p>
    <w:p w14:paraId="7C6190C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委托代理人：                       委托代理人：  </w:t>
      </w:r>
    </w:p>
    <w:p w14:paraId="384B711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盖章：                             盖章：      </w:t>
      </w:r>
    </w:p>
    <w:p w14:paraId="65A31ED4">
      <w:pPr>
        <w:spacing w:line="560" w:lineRule="exact"/>
        <w:ind w:firstLine="480" w:firstLineChars="200"/>
        <w:rPr>
          <w:rFonts w:hint="eastAsia" w:ascii="宋体" w:hAnsi="宋体" w:eastAsia="宋体" w:cs="宋体"/>
          <w:color w:val="000000"/>
          <w:sz w:val="24"/>
          <w:szCs w:val="24"/>
        </w:rPr>
      </w:pPr>
      <w:r>
        <w:rPr>
          <w:rFonts w:hint="eastAsia" w:ascii="宋体" w:hAnsi="宋体" w:eastAsia="宋体" w:cs="宋体"/>
          <w:sz w:val="24"/>
          <w:szCs w:val="24"/>
        </w:rPr>
        <w:t xml:space="preserve">日期：     年  月  日            </w:t>
      </w:r>
      <w:r>
        <w:rPr>
          <w:rFonts w:hint="eastAsia" w:ascii="宋体" w:hAnsi="宋体" w:eastAsia="宋体" w:cs="宋体"/>
          <w:color w:val="000000"/>
          <w:sz w:val="24"/>
          <w:szCs w:val="24"/>
        </w:rPr>
        <w:t xml:space="preserve">  日期：     年  月  日</w:t>
      </w:r>
    </w:p>
    <w:p w14:paraId="5344E8BE">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lZTRhYWYzMzlkNWJjMDZmOWE2MDk2MmQ0M2IyM2EifQ=="/>
  </w:docVars>
  <w:rsids>
    <w:rsidRoot w:val="4A0C6254"/>
    <w:rsid w:val="06E31D05"/>
    <w:rsid w:val="098D04EB"/>
    <w:rsid w:val="10BF1970"/>
    <w:rsid w:val="12DA6549"/>
    <w:rsid w:val="13DE3181"/>
    <w:rsid w:val="154B13CA"/>
    <w:rsid w:val="1A9E0FF7"/>
    <w:rsid w:val="27D62CF5"/>
    <w:rsid w:val="29785D8C"/>
    <w:rsid w:val="430F11B1"/>
    <w:rsid w:val="45AF4A3E"/>
    <w:rsid w:val="4A0C6254"/>
    <w:rsid w:val="4F7A6662"/>
    <w:rsid w:val="6DDA3DCA"/>
    <w:rsid w:val="791919D2"/>
    <w:rsid w:val="7AA8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2572</Words>
  <Characters>2585</Characters>
  <Lines>0</Lines>
  <Paragraphs>0</Paragraphs>
  <TotalTime>7</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2024-04-29T07:46:00Z</dcterms:created>
  <dc:creator>米文浩</dc:creator>
  <cp:lastModifiedBy>mortal</cp:lastModifiedBy>
  <dcterms:modified xsi:type="dcterms:W3CDTF">2026-03-19T03:54:33Z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766A04EA2A774021AEF1BA8B8AF283F3_13</vt:lpwstr>
  </property>
  <property fmtid="{D5CDD505-2E9C-101B-9397-08002B2CF9AE}" pid="4" name="KSOTemplateDocerSaveRecord">
    <vt:lpwstr>eyJoZGlkIjoiMjRjYjg4YjU2OGM3ODliYjQ3MTU5ZDJlYjhlOWY4NWEiLCJ1c2VySWQiOiIyNDc3MjYwNzcifQ==</vt:lpwstr>
  </property>
</Properties>
</file>