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55894">
      <w:pPr>
        <w:keepNext/>
        <w:spacing w:line="720" w:lineRule="exact"/>
        <w:jc w:val="center"/>
        <w:outlineLvl w:val="1"/>
        <w:rPr>
          <w:rFonts w:hint="eastAsia" w:ascii="黑体" w:hAnsi="黑体" w:eastAsia="黑体" w:cs="Times New Roman"/>
          <w:b/>
          <w:sz w:val="32"/>
          <w:szCs w:val="32"/>
          <w:lang w:val="zh-CN"/>
        </w:rPr>
      </w:pPr>
      <w:r>
        <w:rPr>
          <w:rFonts w:hint="eastAsia" w:ascii="黑体" w:hAnsi="黑体" w:eastAsia="黑体" w:cs="Times New Roman"/>
          <w:b/>
          <w:sz w:val="32"/>
          <w:szCs w:val="32"/>
          <w:lang w:val="zh-CN"/>
        </w:rPr>
        <w:t>合同草案条款</w:t>
      </w:r>
    </w:p>
    <w:p w14:paraId="7DF69CF5">
      <w:pPr>
        <w:adjustRightInd w:val="0"/>
        <w:snapToGrid w:val="0"/>
        <w:spacing w:line="360" w:lineRule="auto"/>
        <w:ind w:left="105" w:leftChars="50" w:firstLine="402" w:firstLineChars="200"/>
        <w:rPr>
          <w:rFonts w:hint="eastAsia" w:ascii="宋体" w:hAnsi="宋体" w:eastAsia="宋体" w:cs="Times New Roman"/>
          <w:sz w:val="20"/>
          <w:szCs w:val="20"/>
        </w:rPr>
      </w:pPr>
      <w:r>
        <w:rPr>
          <w:rFonts w:ascii="宋体" w:hAnsi="宋体" w:eastAsia="宋体" w:cs="Times New Roman"/>
          <w:b/>
          <w:sz w:val="20"/>
          <w:szCs w:val="20"/>
        </w:rPr>
        <w:t>甲方：（</w:t>
      </w:r>
      <w:r>
        <w:rPr>
          <w:rFonts w:ascii="宋体" w:hAnsi="宋体" w:eastAsia="宋体" w:cs="Times New Roman"/>
          <w:sz w:val="20"/>
          <w:szCs w:val="20"/>
        </w:rPr>
        <w:t>前款所称采购人）         住所：</w:t>
      </w:r>
    </w:p>
    <w:p w14:paraId="175A6930">
      <w:pPr>
        <w:adjustRightInd w:val="0"/>
        <w:snapToGrid w:val="0"/>
        <w:spacing w:line="360" w:lineRule="auto"/>
        <w:ind w:left="105" w:leftChars="50" w:firstLine="402" w:firstLineChars="200"/>
        <w:rPr>
          <w:rFonts w:hint="eastAsia" w:ascii="宋体" w:hAnsi="宋体" w:eastAsia="宋体" w:cs="Times New Roman"/>
          <w:sz w:val="20"/>
          <w:szCs w:val="20"/>
        </w:rPr>
      </w:pPr>
      <w:r>
        <w:rPr>
          <w:rFonts w:ascii="宋体" w:hAnsi="宋体" w:eastAsia="宋体" w:cs="Times New Roman"/>
          <w:b/>
          <w:sz w:val="20"/>
          <w:szCs w:val="20"/>
        </w:rPr>
        <w:t>乙方：</w:t>
      </w:r>
      <w:r>
        <w:rPr>
          <w:rFonts w:ascii="宋体" w:hAnsi="宋体" w:eastAsia="宋体" w:cs="Times New Roman"/>
          <w:sz w:val="20"/>
          <w:szCs w:val="20"/>
        </w:rPr>
        <w:t>（前款所称成交供应商）     住所：</w:t>
      </w:r>
    </w:p>
    <w:p w14:paraId="6CB693D3">
      <w:pPr>
        <w:adjustRightInd w:val="0"/>
        <w:snapToGrid w:val="0"/>
        <w:spacing w:line="360" w:lineRule="auto"/>
        <w:ind w:firstLine="402" w:firstLineChars="200"/>
        <w:rPr>
          <w:rFonts w:hint="eastAsia" w:asciiTheme="minorEastAsia" w:hAnsiTheme="minorEastAsia" w:cstheme="minorEastAsia"/>
          <w:b/>
          <w:sz w:val="20"/>
          <w:szCs w:val="20"/>
        </w:rPr>
      </w:pPr>
      <w:bookmarkStart w:id="0" w:name="_Toc19515384"/>
      <w:r>
        <w:rPr>
          <w:rFonts w:hint="eastAsia" w:asciiTheme="minorEastAsia" w:hAnsiTheme="minorEastAsia" w:cstheme="minorEastAsia"/>
          <w:b/>
          <w:sz w:val="20"/>
          <w:szCs w:val="20"/>
        </w:rPr>
        <w:t>一、合同内容（标的、数量、质量等）:</w:t>
      </w:r>
    </w:p>
    <w:p w14:paraId="3351FFF0">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二、合同价款</w:t>
      </w:r>
    </w:p>
    <w:p w14:paraId="6BD45E72">
      <w:pPr>
        <w:adjustRightInd w:val="0"/>
        <w:snapToGrid w:val="0"/>
        <w:spacing w:line="360" w:lineRule="auto"/>
        <w:ind w:firstLine="400" w:firstLineChars="200"/>
        <w:rPr>
          <w:rFonts w:hint="eastAsia" w:asciiTheme="minorEastAsia" w:hAnsiTheme="minorEastAsia" w:cstheme="minorEastAsia"/>
          <w:sz w:val="20"/>
          <w:szCs w:val="20"/>
          <w:u w:val="single"/>
        </w:rPr>
      </w:pPr>
      <w:r>
        <w:rPr>
          <w:rFonts w:hint="eastAsia" w:asciiTheme="minorEastAsia" w:hAnsiTheme="minorEastAsia" w:cstheme="minorEastAsia"/>
          <w:sz w:val="20"/>
          <w:szCs w:val="20"/>
        </w:rPr>
        <w:t>1、合同下浮率：</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（合同下浮率即成交下浮率）</w:t>
      </w:r>
    </w:p>
    <w:p w14:paraId="4D382776">
      <w:pPr>
        <w:adjustRightInd w:val="0"/>
        <w:snapToGrid w:val="0"/>
        <w:spacing w:line="360" w:lineRule="auto"/>
        <w:ind w:firstLine="400" w:firstLineChars="200"/>
        <w:rPr>
          <w:rFonts w:hint="eastAsia" w:asciiTheme="minorEastAsia" w:hAnsiTheme="minorEastAsia" w:cstheme="minorEastAsia"/>
          <w:color w:val="FF0000"/>
          <w:sz w:val="20"/>
          <w:szCs w:val="20"/>
        </w:rPr>
      </w:pPr>
      <w:r>
        <w:rPr>
          <w:rFonts w:hint="eastAsia" w:asciiTheme="minorEastAsia" w:hAnsiTheme="minorEastAsia" w:cstheme="minorEastAsia"/>
          <w:sz w:val="20"/>
          <w:szCs w:val="20"/>
        </w:rPr>
        <w:t>2、合同下浮率即成交下浮率，为一次性报价，不受市场价变化或实际工作量变化的影响。合同价格为含税价，乙方提供产品、服务所发生的一切税（包括增值税）费等都已包含于合同价款中。</w:t>
      </w:r>
    </w:p>
    <w:p w14:paraId="7E4EB101">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3、合同下浮率一次包死，不受市场价变化的影响。</w:t>
      </w:r>
    </w:p>
    <w:p w14:paraId="2BE97D15">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三、合同结算</w:t>
      </w:r>
    </w:p>
    <w:p w14:paraId="3770631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1、结算方式：以当月产品最高限价*（1-下浮率）*实际供应量进行据实结算。</w:t>
      </w:r>
    </w:p>
    <w:p w14:paraId="6D959E9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2、产品最高限价：</w:t>
      </w:r>
    </w:p>
    <w:p w14:paraId="1FF162F8">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根据西安市农业农村局官网（http://nyncj.xa.gov.cn）发布的北城批发市场、摩尔农产品交易中心、朱雀市场和欣桥批发市场的四个市场产品当月第一周的价格均值作为本月产品最高限价，若为西安市农业农村局官网没有公布价格的品种，按招标人同类市场调研价格作为本月产品最高限价。</w:t>
      </w:r>
    </w:p>
    <w:p w14:paraId="0A6E776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3、付款方式：</w:t>
      </w:r>
    </w:p>
    <w:p w14:paraId="43E33006">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3-1、每四个月支付一次，服务满四个月后乙方提供实际费用标准据实结算。乙方必须开具全额增值税发票给甲方（附详细供货清单）</w:t>
      </w:r>
    </w:p>
    <w:p w14:paraId="483864BA">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3-2、乙方应按照甲方要求的时间和地点配送，经甲方验收合格后，乙方提供所供货物清单，甲方对所供货物的价格进行核实，经核实无误后在供货单上签字确认。结算时按甲方签字确认的供货单据实结算。</w:t>
      </w:r>
    </w:p>
    <w:p w14:paraId="367D010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3-3、甲方在验收合格后，根据供货单据实结算，若遇年终预决算等特殊原因，延期结算。</w:t>
      </w:r>
    </w:p>
    <w:p w14:paraId="749DFC27">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四、供货期限、地点及方式</w:t>
      </w:r>
    </w:p>
    <w:p w14:paraId="6BDF595A">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1、供货期限：2026年4月1日-2027年3月31日，按需供货。</w:t>
      </w:r>
    </w:p>
    <w:p w14:paraId="7273D531">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2、配送响应时间：接每日菜单后第二天上午8:00前送到。</w:t>
      </w:r>
    </w:p>
    <w:p w14:paraId="60C6B09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3、送货地址：甲方指定地址。</w:t>
      </w:r>
      <w:bookmarkStart w:id="4" w:name="_GoBack"/>
      <w:bookmarkEnd w:id="4"/>
    </w:p>
    <w:p w14:paraId="41723B98">
      <w:pPr>
        <w:adjustRightInd w:val="0"/>
        <w:snapToGrid w:val="0"/>
        <w:spacing w:line="360" w:lineRule="auto"/>
        <w:ind w:firstLine="402" w:firstLineChars="200"/>
        <w:rPr>
          <w:rFonts w:hint="eastAsia" w:asciiTheme="minorEastAsia" w:hAnsiTheme="minorEastAsia" w:cstheme="minorEastAsia"/>
          <w:b/>
          <w:bCs/>
          <w:sz w:val="20"/>
          <w:szCs w:val="20"/>
        </w:rPr>
      </w:pPr>
      <w:r>
        <w:rPr>
          <w:rFonts w:hint="eastAsia" w:asciiTheme="minorEastAsia" w:hAnsiTheme="minorEastAsia" w:cstheme="minorEastAsia"/>
          <w:b/>
          <w:bCs/>
          <w:sz w:val="20"/>
          <w:szCs w:val="20"/>
        </w:rPr>
        <w:t>五、货物质量保证</w:t>
      </w:r>
    </w:p>
    <w:p w14:paraId="566517C6">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1、符合《产品质量法》和《食品安全法》等相关法律法规规定的质量标准。</w:t>
      </w:r>
    </w:p>
    <w:p w14:paraId="7F4DF3C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2、乙方提供的产品及材料必须保证质量可靠，进货渠道正常，应全面满足招标文件的要求，招标文件未明确要求的内容，乙方须以甲方的补充要求为准，如发生质量问题由乙方承担全部责任。</w:t>
      </w:r>
    </w:p>
    <w:p w14:paraId="6C8ED66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3、乙方应保证所有产品的完好无损包括配套包装，如有缺漏、损坏，由乙方负责调换、补齐或赔偿。</w:t>
      </w:r>
    </w:p>
    <w:p w14:paraId="3EC388C7">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4、服务期内服务内容等指标与合同有任何一项不符，甲方应尽快以书面形式向乙方提出索赔。同时应向政府采购管理部门报告。</w:t>
      </w:r>
    </w:p>
    <w:p w14:paraId="6E631B06">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5、乙方在收到采购人的通知后，应及时免费对服务内容及使用效果的不足或偏差进行补正。</w:t>
      </w:r>
    </w:p>
    <w:p w14:paraId="6B10A220">
      <w:pPr>
        <w:adjustRightInd w:val="0"/>
        <w:snapToGrid w:val="0"/>
        <w:spacing w:line="360" w:lineRule="auto"/>
        <w:ind w:firstLine="402" w:firstLineChars="200"/>
        <w:rPr>
          <w:rFonts w:hint="eastAsia" w:asciiTheme="minorEastAsia" w:hAnsiTheme="minorEastAsia" w:cstheme="minorEastAsia"/>
          <w:b/>
          <w:bCs/>
          <w:sz w:val="20"/>
          <w:szCs w:val="20"/>
        </w:rPr>
      </w:pPr>
      <w:r>
        <w:rPr>
          <w:rFonts w:hint="eastAsia" w:asciiTheme="minorEastAsia" w:hAnsiTheme="minorEastAsia" w:cstheme="minorEastAsia"/>
          <w:b/>
          <w:bCs/>
          <w:sz w:val="20"/>
          <w:szCs w:val="20"/>
        </w:rPr>
        <w:t>六、运输</w:t>
      </w:r>
    </w:p>
    <w:p w14:paraId="782883A8">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1、乙方根据产品特性，自行选择运输及包装方式，承担一切运输费用，包括从生产厂到甲方指定交货地点所需的装卸、运输（含保险费）及其他一切费用。</w:t>
      </w:r>
    </w:p>
    <w:p w14:paraId="454FC2B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14:paraId="1FEE8622">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七、验收</w:t>
      </w:r>
    </w:p>
    <w:p w14:paraId="1C9C860B">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1、验收依据：</w:t>
      </w:r>
    </w:p>
    <w:p w14:paraId="3BCF169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1-1、合同文本、合同附件、磋商文件、磋商响应文件。</w:t>
      </w:r>
    </w:p>
    <w:p w14:paraId="12A32482">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1-2、国内相应的标准、规范。</w:t>
      </w:r>
    </w:p>
    <w:p w14:paraId="17BC4DCB">
      <w:pPr>
        <w:adjustRightInd w:val="0"/>
        <w:snapToGrid w:val="0"/>
        <w:spacing w:line="360" w:lineRule="auto"/>
        <w:ind w:firstLine="400" w:firstLineChars="200"/>
        <w:rPr>
          <w:rFonts w:hint="eastAsia" w:asciiTheme="minorEastAsia" w:hAnsiTheme="minorEastAsia" w:cstheme="minorEastAsia"/>
          <w:bCs/>
          <w:sz w:val="20"/>
          <w:szCs w:val="20"/>
        </w:rPr>
      </w:pPr>
      <w:bookmarkStart w:id="1" w:name="_Toc19515393"/>
      <w:r>
        <w:rPr>
          <w:rFonts w:hint="eastAsia" w:asciiTheme="minorEastAsia" w:hAnsiTheme="minorEastAsia" w:cstheme="minorEastAsia"/>
          <w:bCs/>
          <w:sz w:val="20"/>
          <w:szCs w:val="20"/>
        </w:rPr>
        <w:t>2、验收方式及标准</w:t>
      </w:r>
    </w:p>
    <w:p w14:paraId="2E0131EC">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2-1、验收方式</w:t>
      </w:r>
    </w:p>
    <w:p w14:paraId="7EE50804">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-1-1、配送方到达指定地点，将货物清单送至采购方，甲方根据验收标准检验产品，清点货物，填写验收单，对于验收不合格的产品，乙方应及时处理，并调动公司应急小组及时进行统计补货，为此造成的损失及费用由乙方负责。</w:t>
      </w:r>
    </w:p>
    <w:p w14:paraId="33718720">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2-1-2、原材料验收由甲方业务管理方、乙方、餐厅使用方，三方现场检验，对供应产品的质量无异议数量准确无误后，三方签字，各自留存。</w:t>
      </w:r>
    </w:p>
    <w:p w14:paraId="2559B244">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2-2、验收标准</w:t>
      </w:r>
    </w:p>
    <w:p w14:paraId="7D1893CC">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2-2-1、大米须达国家GB/T 1354特二级标准，水分含量在12°以下，无掺杂、无沙石，碎米少，无黄粒米；大米包装袋上印有大米品名、等级、数量、出厂名、生产日期、厂家地址及其电话。</w:t>
      </w:r>
    </w:p>
    <w:p w14:paraId="32EAE2AF">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2-2-2、高筋面粉达GB/T 8607国家标准，质量等级一级；低筋面粉达GB/T 8608国家标准，质量等级一级；色泽正常，干爽无异味。</w:t>
      </w:r>
    </w:p>
    <w:p w14:paraId="78072ADD">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-3、验收粮、油时必须要求供方提供经国家食品卫生检验检疫机构检验出具的该批次批粮、油产品检验报告或合格证。批量粮、油到货后，必须抽样打开包装仔细检查，要求供方产品不掺假、不过期、不变质、不变味、无杂质、无毒害，货物净重量须与外包装标明的重量一致，符合国家食品行业的标准产品。</w:t>
      </w:r>
    </w:p>
    <w:p w14:paraId="46045194">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-4、肉类必须保证提供为当日生产产品，肉身必须盖有卫生检疫章，同时出具加盖政府机构动物卫生监督所鲜章的动物检疫合格证明，畜肉品须色泽鲜亮、无任何异味、无毛、按压无注水，纹理清晰，肉质细腻，品质好。</w:t>
      </w:r>
    </w:p>
    <w:p w14:paraId="2EBA66D2">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2-2-5、禽类制品须肉面干净、无任何异味、无注水、无羽毛、表皮无疤痕，大小匀称、肉质紧至，码放整齐。</w:t>
      </w:r>
    </w:p>
    <w:p w14:paraId="400747C7">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-6、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w:t>
      </w:r>
    </w:p>
    <w:p w14:paraId="72596DB0">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2-2-7、蛋类须新鲜，不超过三日以上产品，大小均匀，外壳无破裂，光洁饱满的产品，周转箱堆放 。</w:t>
      </w:r>
    </w:p>
    <w:p w14:paraId="6BD1F551">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2-2-8、豆制类须保证食材干净、不含非食品用化学物质、按统一标准加工、码放整齐、无须二次处理可以直接进行熟加工。</w:t>
      </w:r>
    </w:p>
    <w:p w14:paraId="70BD1258">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2-2-9、水果类须保证新鲜 ，无农药，无异味，无挤压、虫眼、过熟或欠熟，大小重量匀称等，表面无疤痕，果体光洁饱满。</w:t>
      </w:r>
    </w:p>
    <w:p w14:paraId="2075A5CB">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2-2-10、水产品类须保证鲜活、大小基本统一，水产类净菜须保证处理干净。</w:t>
      </w:r>
    </w:p>
    <w:p w14:paraId="5C661EE8">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-11、冻品外包装需完整，无破损，无不封口现象，有生产日期。干货类须保证配送种类、品牌、规格，质量完全符合采购方要求，生产日期须在保质期二分之一天之内，包装完整、无任何破损、无挤压、无破碎、无异味、无任何表面附着物或衍生物。</w:t>
      </w:r>
    </w:p>
    <w:p w14:paraId="54BC9308">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2-2-12、调料类须保证色泽正常，具有该品种固有的香味，滋味无异味，油酱均匀的酱体或无结块的粉状固体，封口平整，无破包，夹包，漏包，无污染。</w:t>
      </w:r>
    </w:p>
    <w:p w14:paraId="61617132">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-2-13、副食及其他须保证食材干净、不含非食品用化学物质、按统一标准加工、码放整齐、无须二次处理可以直接进行熟加工。牛奶，小食品，须保证规格品种完全符合采购人要求，大小包装规格齐全、生产日期须在保质期二分之一天之内，凭出厂合格证与检验员章确认质量。</w:t>
      </w:r>
    </w:p>
    <w:p w14:paraId="72407C74">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八、甲方的权利和义务</w:t>
      </w:r>
    </w:p>
    <w:p w14:paraId="2EF3608F">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1、甲方有权督促乙方完成合同中协议的所有工作内容及其工作进度；</w:t>
      </w:r>
    </w:p>
    <w:p w14:paraId="49CC0F8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2、甲方应主动提供有利于项目顺利执行实施的相关资源及便利；</w:t>
      </w:r>
    </w:p>
    <w:p w14:paraId="347BEBF5">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3、甲方有权向乙方提出整改建议和意见。</w:t>
      </w:r>
    </w:p>
    <w:p w14:paraId="1117E7E7">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九、乙方的权利和义务</w:t>
      </w:r>
    </w:p>
    <w:p w14:paraId="5D2850D9">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1、对本合同规定的委托范围内的项目享有管理权及服务义务。</w:t>
      </w:r>
    </w:p>
    <w:p w14:paraId="6EB27D0E">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2、根据本合同的规定向甲方收取相关服务费用，并有权在本项目管理范围内管理及合理使用。</w:t>
      </w:r>
    </w:p>
    <w:p w14:paraId="5074755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3、及时向甲方通告本项目执行范围内有关的重大事项，及时配合处理投诉。</w:t>
      </w:r>
    </w:p>
    <w:p w14:paraId="1EC5D915">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4、接受项目行业管理部门及政府有关部门的指导，接受甲方的监督。</w:t>
      </w:r>
    </w:p>
    <w:p w14:paraId="2725ABA2">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5、国家法律、法规所规定由乙方承担的其它责任。</w:t>
      </w:r>
    </w:p>
    <w:p w14:paraId="6B3637BF">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十、违约责任</w:t>
      </w:r>
    </w:p>
    <w:p w14:paraId="1A0588AF">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1、违约责任按《中华人民共和国民法典》处理中的相关条款执行。</w:t>
      </w:r>
    </w:p>
    <w:bookmarkEnd w:id="1"/>
    <w:p w14:paraId="6159636F">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2、乙方没有按时按要求配送到位，影响甲方员工餐厅正常开餐的，以当日需求计划总量两倍价款赔付当日损失，同时甲方将对乙方进行处罚。</w:t>
      </w:r>
    </w:p>
    <w:p w14:paraId="3D488C90">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3、在验收时有不符合要求的，一律退回，乙方无条件重新更换配送货物，更换后仍然不符合标准的甲方有权对乙方处以一定金额的罚款。</w:t>
      </w:r>
    </w:p>
    <w:p w14:paraId="23455817">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4、任何因产品质量问题导致的食品安全或食物中毒责任，在确认导致问题的品种后，由乙方承担全部法律责任与经济损失，除对甲方进行赔付外，甲方有权单方终止合同。</w:t>
      </w:r>
    </w:p>
    <w:p w14:paraId="2F38F5AC">
      <w:pPr>
        <w:adjustRightInd w:val="0"/>
        <w:snapToGrid w:val="0"/>
        <w:spacing w:line="360" w:lineRule="auto"/>
        <w:ind w:firstLine="400" w:firstLineChars="200"/>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5、原材料供应商对于可能的违约责任或食品安全责任的责任承担说明。</w:t>
      </w:r>
    </w:p>
    <w:p w14:paraId="365133C9">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十一、服务承诺</w:t>
      </w:r>
    </w:p>
    <w:p w14:paraId="643C8028">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1、乙方需派一名项目经理，直接与甲方沟通，负责每批次供货现场的监督和协调工作，项目经理接收甲方提出的问题与要求，并及时向公司申请调动资源，解决甲方在项目实施过程中遇到的问题。</w:t>
      </w:r>
    </w:p>
    <w:p w14:paraId="000D6C15">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2、项目在实施过程中会出现不可预料的需求变更，乙方需积极配合甲方的需求变更。</w:t>
      </w:r>
    </w:p>
    <w:p w14:paraId="1DF8042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3、根据采购方需求，保证供货及时。</w:t>
      </w:r>
    </w:p>
    <w:p w14:paraId="4EC4DBB5">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4、所有包装产品日期保证新鲜。</w:t>
      </w:r>
    </w:p>
    <w:p w14:paraId="712DA06B">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保证所配送的各类食材符合国家食品安全标准要求，不掺杂、掺假、以次充好、以不合格品冒充合格品。保证蔬菜类做到：新鲜菜光滑、清脆鲜嫩，无变质腐烂、无黄叶、不带泥沙、无杂草；水果类做到新鲜，颜色亮丽，无变质腐烂。</w:t>
      </w:r>
    </w:p>
    <w:p w14:paraId="7E7017C3">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十二、不可抗力事件处理</w:t>
      </w:r>
    </w:p>
    <w:p w14:paraId="2D4C8D7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CDB471F">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14:paraId="33446201">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十三、合同组成</w:t>
      </w:r>
    </w:p>
    <w:p w14:paraId="6170900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1、中标通知书</w:t>
      </w:r>
    </w:p>
    <w:p w14:paraId="3651A027">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2、合同文件</w:t>
      </w:r>
    </w:p>
    <w:p w14:paraId="7479C292">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3、国家相关规范及标准</w:t>
      </w:r>
    </w:p>
    <w:p w14:paraId="7E2A4309">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4、磋商文件</w:t>
      </w:r>
    </w:p>
    <w:p w14:paraId="365AB4F8">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5、磋商响应文件</w:t>
      </w:r>
    </w:p>
    <w:p w14:paraId="50DD5BF2">
      <w:pPr>
        <w:adjustRightInd w:val="0"/>
        <w:snapToGrid w:val="0"/>
        <w:spacing w:line="360" w:lineRule="auto"/>
        <w:ind w:firstLine="402" w:firstLineChars="200"/>
        <w:rPr>
          <w:rFonts w:hint="eastAsia" w:asciiTheme="minorEastAsia" w:hAnsiTheme="minorEastAsia" w:cstheme="minorEastAsia"/>
          <w:b/>
          <w:sz w:val="20"/>
          <w:szCs w:val="20"/>
        </w:rPr>
      </w:pPr>
      <w:bookmarkStart w:id="2" w:name="_Toc19515394"/>
      <w:r>
        <w:rPr>
          <w:rFonts w:hint="eastAsia" w:asciiTheme="minorEastAsia" w:hAnsiTheme="minorEastAsia" w:cstheme="minorEastAsia"/>
          <w:b/>
          <w:sz w:val="20"/>
          <w:szCs w:val="20"/>
        </w:rPr>
        <w:t>十四、解决争议的方法</w:t>
      </w:r>
      <w:bookmarkEnd w:id="2"/>
    </w:p>
    <w:p w14:paraId="571D2230">
      <w:pPr>
        <w:autoSpaceDE w:val="0"/>
        <w:autoSpaceDN w:val="0"/>
        <w:snapToGrid w:val="0"/>
        <w:spacing w:line="360" w:lineRule="auto"/>
        <w:ind w:right="-110"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凡因本合同引起的或与本合同有关的争议，双方应友好协商解决。协商不成时，甲、乙双方均同意向甲方所在地人民法院提起诉讼解决。</w:t>
      </w:r>
    </w:p>
    <w:p w14:paraId="13B56C06">
      <w:pPr>
        <w:adjustRightInd w:val="0"/>
        <w:snapToGrid w:val="0"/>
        <w:spacing w:line="360" w:lineRule="auto"/>
        <w:ind w:firstLine="402" w:firstLineChars="200"/>
        <w:rPr>
          <w:rFonts w:hint="eastAsia" w:asciiTheme="minorEastAsia" w:hAnsiTheme="minorEastAsia" w:cstheme="minorEastAsia"/>
          <w:b/>
          <w:sz w:val="20"/>
          <w:szCs w:val="20"/>
        </w:rPr>
      </w:pPr>
      <w:bookmarkStart w:id="3" w:name="_Toc19515395"/>
      <w:r>
        <w:rPr>
          <w:rFonts w:hint="eastAsia" w:asciiTheme="minorEastAsia" w:hAnsiTheme="minorEastAsia" w:cstheme="minorEastAsia"/>
          <w:b/>
          <w:sz w:val="20"/>
          <w:szCs w:val="20"/>
        </w:rPr>
        <w:t>十五、合同生效及其它</w:t>
      </w:r>
      <w:bookmarkEnd w:id="3"/>
    </w:p>
    <w:p w14:paraId="31FDDAD4">
      <w:pPr>
        <w:autoSpaceDE w:val="0"/>
        <w:autoSpaceDN w:val="0"/>
        <w:snapToGrid w:val="0"/>
        <w:spacing w:line="360" w:lineRule="auto"/>
        <w:ind w:right="-110"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1、合同未尽事宜、由甲、乙双方协商，作为合同补充，与原合同具有同等法律效力。</w:t>
      </w:r>
    </w:p>
    <w:p w14:paraId="72C0B6C7">
      <w:pPr>
        <w:tabs>
          <w:tab w:val="left" w:pos="8391"/>
        </w:tabs>
        <w:autoSpaceDE w:val="0"/>
        <w:autoSpaceDN w:val="0"/>
        <w:snapToGrid w:val="0"/>
        <w:spacing w:line="360" w:lineRule="auto"/>
        <w:ind w:right="-69"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2、 本合同一式</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份，甲方、乙方双方分别执</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份，</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备案</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份。</w:t>
      </w:r>
    </w:p>
    <w:p w14:paraId="6630E03C">
      <w:pPr>
        <w:tabs>
          <w:tab w:val="left" w:pos="8391"/>
        </w:tabs>
        <w:autoSpaceDE w:val="0"/>
        <w:autoSpaceDN w:val="0"/>
        <w:snapToGrid w:val="0"/>
        <w:spacing w:line="360" w:lineRule="auto"/>
        <w:ind w:right="-69"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3、合同经甲乙双方盖章、签字后生效，合同签订地点为</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w:t>
      </w:r>
    </w:p>
    <w:p w14:paraId="7C174605">
      <w:pPr>
        <w:tabs>
          <w:tab w:val="left" w:pos="8391"/>
        </w:tabs>
        <w:autoSpaceDE w:val="0"/>
        <w:autoSpaceDN w:val="0"/>
        <w:snapToGrid w:val="0"/>
        <w:spacing w:line="360" w:lineRule="auto"/>
        <w:ind w:right="-69"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4、生效时间：</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年</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月</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日</w:t>
      </w:r>
    </w:p>
    <w:tbl>
      <w:tblPr>
        <w:tblStyle w:val="2"/>
        <w:tblpPr w:leftFromText="180" w:rightFromText="180" w:vertAnchor="text" w:horzAnchor="page" w:tblpX="1908" w:tblpY="454"/>
        <w:tblOverlap w:val="never"/>
        <w:tblW w:w="0" w:type="auto"/>
        <w:tblInd w:w="0" w:type="dxa"/>
        <w:tblLayout w:type="fixed"/>
        <w:tblCellMar>
          <w:top w:w="0" w:type="dxa"/>
          <w:left w:w="108" w:type="dxa"/>
          <w:bottom w:w="0" w:type="dxa"/>
          <w:right w:w="108" w:type="dxa"/>
        </w:tblCellMar>
      </w:tblPr>
      <w:tblGrid>
        <w:gridCol w:w="4643"/>
        <w:gridCol w:w="4643"/>
      </w:tblGrid>
      <w:tr w14:paraId="0117B67F">
        <w:tblPrEx>
          <w:tblCellMar>
            <w:top w:w="0" w:type="dxa"/>
            <w:left w:w="108" w:type="dxa"/>
            <w:bottom w:w="0" w:type="dxa"/>
            <w:right w:w="108" w:type="dxa"/>
          </w:tblCellMar>
        </w:tblPrEx>
        <w:trPr>
          <w:trHeight w:val="107" w:hRule="atLeast"/>
        </w:trPr>
        <w:tc>
          <w:tcPr>
            <w:tcW w:w="4643" w:type="dxa"/>
          </w:tcPr>
          <w:p w14:paraId="23E6210F">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甲方名称</w:t>
            </w:r>
            <w:r>
              <w:rPr>
                <w:rFonts w:hint="eastAsia" w:asciiTheme="minorEastAsia" w:hAnsiTheme="minorEastAsia" w:cstheme="minorEastAsia"/>
                <w:spacing w:val="-20"/>
                <w:sz w:val="20"/>
                <w:szCs w:val="20"/>
              </w:rPr>
              <w:t>（盖章）</w:t>
            </w:r>
            <w:r>
              <w:rPr>
                <w:rFonts w:hint="eastAsia" w:asciiTheme="minorEastAsia" w:hAnsiTheme="minorEastAsia" w:cstheme="minorEastAsia"/>
                <w:sz w:val="20"/>
                <w:szCs w:val="20"/>
              </w:rPr>
              <w:t>:</w:t>
            </w:r>
          </w:p>
          <w:p w14:paraId="4E8EFE03">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地址：</w:t>
            </w:r>
          </w:p>
          <w:p w14:paraId="5EB39074">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代表人（签字）：</w:t>
            </w:r>
          </w:p>
          <w:p w14:paraId="29B9AA67">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电话：</w:t>
            </w:r>
          </w:p>
          <w:p w14:paraId="52CAF959">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开户银行：</w:t>
            </w:r>
          </w:p>
          <w:p w14:paraId="4FCCB38F">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账号：</w:t>
            </w:r>
          </w:p>
        </w:tc>
        <w:tc>
          <w:tcPr>
            <w:tcW w:w="4643" w:type="dxa"/>
          </w:tcPr>
          <w:p w14:paraId="7B1141D3">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乙方名称</w:t>
            </w:r>
            <w:r>
              <w:rPr>
                <w:rFonts w:hint="eastAsia" w:asciiTheme="minorEastAsia" w:hAnsiTheme="minorEastAsia" w:cstheme="minorEastAsia"/>
                <w:spacing w:val="-20"/>
                <w:sz w:val="20"/>
                <w:szCs w:val="20"/>
              </w:rPr>
              <w:t>（盖章）</w:t>
            </w:r>
            <w:r>
              <w:rPr>
                <w:rFonts w:hint="eastAsia" w:asciiTheme="minorEastAsia" w:hAnsiTheme="minorEastAsia" w:cstheme="minorEastAsia"/>
                <w:sz w:val="20"/>
                <w:szCs w:val="20"/>
              </w:rPr>
              <w:t>:</w:t>
            </w:r>
          </w:p>
          <w:p w14:paraId="6017236D">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地址：</w:t>
            </w:r>
          </w:p>
          <w:p w14:paraId="72B6FC76">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代表人（签字）：</w:t>
            </w:r>
          </w:p>
          <w:p w14:paraId="71004256">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电话：</w:t>
            </w:r>
          </w:p>
          <w:p w14:paraId="31FDC6AB">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开户银行：</w:t>
            </w:r>
          </w:p>
          <w:p w14:paraId="6FBB5779">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账号：</w:t>
            </w:r>
          </w:p>
        </w:tc>
      </w:tr>
    </w:tbl>
    <w:p w14:paraId="05C0CB3B">
      <w:pPr>
        <w:tabs>
          <w:tab w:val="left" w:pos="8391"/>
        </w:tabs>
        <w:autoSpaceDE w:val="0"/>
        <w:autoSpaceDN w:val="0"/>
        <w:snapToGrid w:val="0"/>
        <w:spacing w:line="360" w:lineRule="auto"/>
        <w:ind w:right="-69" w:firstLine="400" w:firstLineChars="200"/>
        <w:textAlignment w:val="bottom"/>
        <w:rPr>
          <w:rFonts w:hint="eastAsia" w:asciiTheme="minorEastAsia" w:hAnsiTheme="minorEastAsia" w:cstheme="minorEastAsia"/>
          <w:sz w:val="20"/>
          <w:szCs w:val="20"/>
        </w:rPr>
      </w:pPr>
    </w:p>
    <w:bookmarkEnd w:id="0"/>
    <w:p w14:paraId="6366DE52">
      <w:pPr>
        <w:tabs>
          <w:tab w:val="left" w:pos="735"/>
        </w:tabs>
        <w:autoSpaceDE w:val="0"/>
        <w:autoSpaceDN w:val="0"/>
        <w:adjustRightInd w:val="0"/>
        <w:snapToGrid w:val="0"/>
        <w:spacing w:before="312" w:beforeLines="100" w:line="360" w:lineRule="auto"/>
        <w:ind w:firstLine="629"/>
      </w:pPr>
    </w:p>
    <w:p w14:paraId="5A0DF7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C06D09"/>
    <w:rsid w:val="6E410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3722</Words>
  <Characters>3851</Characters>
  <Lines>0</Lines>
  <Paragraphs>0</Paragraphs>
  <TotalTime>1</TotalTime>
  <ScaleCrop>false</ScaleCrop>
  <LinksUpToDate>false</LinksUpToDate>
  <CharactersWithSpaces>3897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2025-12-08T08:55:00Z</dcterms:created>
  <dc:creator>Lenovo</dc:creator>
  <cp:lastModifiedBy>钟声</cp:lastModifiedBy>
  <dcterms:modified xsi:type="dcterms:W3CDTF">2026-03-18T06:43:24Z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eyJoZGlkIjoiOTJmM2Y3YjgzNWU3ZDc3NGZmYWVkNzQyNTc3YTk1YjQiLCJ1c2VySWQiOiI2Nzc2MzQ0MTQifQ==</vt:lpwstr>
  </property>
  <property fmtid="{D5CDD505-2E9C-101B-9397-08002B2CF9AE}" pid="4" name="ICV">
    <vt:lpwstr>5B448B2C3FEF466E8393CBDCDD07E086_12</vt:lpwstr>
  </property>
</Properties>
</file>