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版本号：ZK-CS-2026-02320260323001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电梯管理及桥梁应急维护服务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ZK-CS-2026-023</w:t>
      </w:r>
      <w:r>
        <w:br/>
      </w:r>
      <w:r>
        <w:br/>
      </w:r>
      <w:r>
        <w:br/>
      </w:r>
    </w:p>
    <w:p>
      <w:pPr>
        <w:pStyle w:val="null3"/>
        <w:jc w:val="center"/>
        <w:outlineLvl w:val="2"/>
      </w:pPr>
      <w:r>
        <w:rPr>
          <w:rFonts w:ascii="仿宋_GB2312" w:hAnsi="仿宋_GB2312" w:cs="仿宋_GB2312" w:eastAsia="仿宋_GB2312"/>
          <w:sz w:val="28"/>
          <w:b/>
        </w:rPr>
        <w:t>西安市雁塔区城市管理和综合执法局</w:t>
      </w:r>
    </w:p>
    <w:p>
      <w:pPr>
        <w:pStyle w:val="null3"/>
        <w:jc w:val="center"/>
        <w:outlineLvl w:val="2"/>
      </w:pPr>
      <w:r>
        <w:rPr>
          <w:rFonts w:ascii="仿宋_GB2312" w:hAnsi="仿宋_GB2312" w:cs="仿宋_GB2312" w:eastAsia="仿宋_GB2312"/>
          <w:sz w:val="28"/>
          <w:b/>
        </w:rPr>
        <w:t>陕西梓鲲企业管理有限公司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陕西梓鲲企业管理有限公司</w:t>
      </w:r>
      <w:r>
        <w:rPr>
          <w:rFonts w:ascii="仿宋_GB2312" w:hAnsi="仿宋_GB2312" w:cs="仿宋_GB2312" w:eastAsia="仿宋_GB2312"/>
        </w:rPr>
        <w:t>（以下简称“代理机构”）受</w:t>
      </w:r>
      <w:r>
        <w:rPr>
          <w:rFonts w:ascii="仿宋_GB2312" w:hAnsi="仿宋_GB2312" w:cs="仿宋_GB2312" w:eastAsia="仿宋_GB2312"/>
        </w:rPr>
        <w:t>西安市雁塔区城市管理和综合执法局</w:t>
      </w:r>
      <w:r>
        <w:rPr>
          <w:rFonts w:ascii="仿宋_GB2312" w:hAnsi="仿宋_GB2312" w:cs="仿宋_GB2312" w:eastAsia="仿宋_GB2312"/>
        </w:rPr>
        <w:t>委托，拟对</w:t>
      </w:r>
      <w:r>
        <w:rPr>
          <w:rFonts w:ascii="仿宋_GB2312" w:hAnsi="仿宋_GB2312" w:cs="仿宋_GB2312" w:eastAsia="仿宋_GB2312"/>
        </w:rPr>
        <w:t>电梯管理及桥梁应急维护服务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ZK-CS-2026-023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电梯管理及桥梁应急维护服务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对雁塔区管辖的16座桥梁电梯及其箱变等附属设施进行管护；负责日常电梯开关、巡查、维护；对辖区32座桥梁投诉进行应急处理；做好辖雁塔辖区桥梁、电梯的安全工作；负责电梯看护人员的工资发放。</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采购包1（电梯管理及桥梁应急维护服务）：属于专门面向中小企业采购。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1、法定代表人授权委托书：法定代表人授权委托书（附法定代表人身份证复印件及被授权人身份证复印件）；法定代表人直接参加磋商只需提供法定代表人身份证明书（附法定代表人身份证复印件）</w:t>
      </w:r>
    </w:p>
    <w:p>
      <w:pPr>
        <w:pStyle w:val="null3"/>
      </w:pPr>
      <w:r>
        <w:rPr>
          <w:rFonts w:ascii="仿宋_GB2312" w:hAnsi="仿宋_GB2312" w:cs="仿宋_GB2312" w:eastAsia="仿宋_GB2312"/>
        </w:rPr>
        <w:t>2、供应商资质要求：供应商须具有建设行政主管部门颁发的市政公用工程施工总承包三级及以上资质，且具备有效的安全生产许可证。</w:t>
      </w:r>
    </w:p>
    <w:p>
      <w:pPr>
        <w:pStyle w:val="null3"/>
      </w:pPr>
      <w:r>
        <w:rPr>
          <w:rFonts w:ascii="仿宋_GB2312" w:hAnsi="仿宋_GB2312" w:cs="仿宋_GB2312" w:eastAsia="仿宋_GB2312"/>
        </w:rPr>
        <w:t>3、信用信息：供应商不得为“信用中国”网站（www.creditchina.gov.cn）中列入失信被执行人（中国执行信息公开网http://zxgk.court.gov.cn）和重大税收违法失信主体的供应商，不得为中国政府采购网（www.ccgp.gov.cn）政府采购严重违法失信行为记录名单中被财政部门禁止参加政府采购活动的供应商。（投标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p>
      <w:pPr>
        <w:pStyle w:val="null3"/>
      </w:pPr>
      <w:r>
        <w:rPr>
          <w:rFonts w:ascii="仿宋_GB2312" w:hAnsi="仿宋_GB2312" w:cs="仿宋_GB2312" w:eastAsia="仿宋_GB2312"/>
        </w:rPr>
        <w:t>4、本项目不接受联合体磋商：本项目不接受联合体磋商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西安市雁塔区城市管理和综合执法局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西安市雁塔区东仪路176号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贺工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029-89651811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陕西梓鲲企业管理有限公司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陕西省西安市市辖区西安市高新区锦业一路与丈八二路十字东南角永威时代中心30楼3001室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栾静、陶莹、郭梦</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029-81142611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印发的《招标代理服务收费管理暂行办法》（计价格〔2002〕1980号）和国家发展和改革委员会办公厅印发的《关于招标代理服务收费有关问题的通知》（发改办价格〔2003〕857号）的有关规定，标准收取。（2）成交单位在结果公告发布之日起3个工作日内，须向采购代理机构一次性支付招标代理服务费。（3）代理服务费缴纳账户：银行户名：陕西梓鲲企业管理有限公司，开户银行：中国光大银行股份有限公司西安春临三路支行，账号：79290188000430981（转账时需备注项目编号）</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西安市雁塔区城市管理和综合执法局</w:t>
      </w:r>
      <w:r>
        <w:rPr>
          <w:rFonts w:ascii="仿宋_GB2312" w:hAnsi="仿宋_GB2312" w:cs="仿宋_GB2312" w:eastAsia="仿宋_GB2312"/>
        </w:rPr>
        <w:t>和</w:t>
      </w:r>
      <w:r>
        <w:rPr>
          <w:rFonts w:ascii="仿宋_GB2312" w:hAnsi="仿宋_GB2312" w:cs="仿宋_GB2312" w:eastAsia="仿宋_GB2312"/>
        </w:rPr>
        <w:t>陕西梓鲲企业管理有限公司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西安市雁塔区城市管理和综合执法局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陕西梓鲲企业管理有限公司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西安市雁塔区城市管理和综合执法局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陕西梓鲲企业管理有限公司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符合国家及行业相关标准，并按采购人要求执行。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陕西梓鲲企业管理有限公司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陕西梓鲲企业管理有限公司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陕西梓鲲企业管理有限公司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联系人：郭工</w:t>
      </w:r>
    </w:p>
    <w:p>
      <w:pPr>
        <w:pStyle w:val="null3"/>
      </w:pPr>
      <w:r>
        <w:rPr>
          <w:rFonts w:ascii="仿宋_GB2312" w:hAnsi="仿宋_GB2312" w:cs="仿宋_GB2312" w:eastAsia="仿宋_GB2312"/>
        </w:rPr>
        <w:t>联系电话：029-81142611</w:t>
      </w:r>
    </w:p>
    <w:p>
      <w:pPr>
        <w:pStyle w:val="null3"/>
      </w:pPr>
      <w:r>
        <w:rPr>
          <w:rFonts w:ascii="仿宋_GB2312" w:hAnsi="仿宋_GB2312" w:cs="仿宋_GB2312" w:eastAsia="仿宋_GB2312"/>
        </w:rPr>
        <w:t>地址：西安市高新区锦业一路与丈八二路十字东南角永威时代中心30楼3001室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对雁塔区管辖的16座桥梁电梯及其箱变等附属设施进行管护；负责日常电梯开关、巡查、维护；对辖区32座桥梁投诉进行应急处理；做好辖雁塔辖区桥梁、电梯的安全工作；负责电梯看护人员的工资发放。</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电梯管理及桥梁应急维护服务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建筑业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标的名称：电梯管理及桥梁应急维护服务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一、项目概况</w:t>
            </w:r>
          </w:p>
          <w:p>
            <w:pPr>
              <w:pStyle w:val="null3"/>
              <w:jc w:val="both"/>
            </w:pPr>
            <w:r>
              <w:rPr>
                <w:rFonts w:ascii="仿宋_GB2312" w:hAnsi="仿宋_GB2312" w:cs="仿宋_GB2312" w:eastAsia="仿宋_GB2312"/>
                <w:sz w:val="21"/>
              </w:rPr>
              <w:t>对雁塔区管辖的</w:t>
            </w:r>
            <w:r>
              <w:rPr>
                <w:rFonts w:ascii="仿宋_GB2312" w:hAnsi="仿宋_GB2312" w:cs="仿宋_GB2312" w:eastAsia="仿宋_GB2312"/>
                <w:sz w:val="21"/>
              </w:rPr>
              <w:t>16座桥梁电梯及其箱变等附属设施进行管护；负责日常电梯开关、巡查、维护；对辖区32座桥梁投诉进行应急处理；做好辖雁塔辖区桥梁、电梯的安全工作；负责电梯看护人员的工资发放。</w:t>
            </w:r>
          </w:p>
          <w:p>
            <w:pPr>
              <w:pStyle w:val="null3"/>
              <w:jc w:val="both"/>
            </w:pPr>
            <w:r>
              <w:rPr>
                <w:rFonts w:ascii="仿宋_GB2312" w:hAnsi="仿宋_GB2312" w:cs="仿宋_GB2312" w:eastAsia="仿宋_GB2312"/>
                <w:sz w:val="21"/>
              </w:rPr>
              <w:t>二、服务内容</w:t>
            </w:r>
          </w:p>
          <w:p>
            <w:pPr>
              <w:pStyle w:val="null3"/>
              <w:jc w:val="both"/>
            </w:pPr>
            <w:r>
              <w:rPr>
                <w:rFonts w:ascii="仿宋_GB2312" w:hAnsi="仿宋_GB2312" w:cs="仿宋_GB2312" w:eastAsia="仿宋_GB2312"/>
                <w:sz w:val="21"/>
              </w:rPr>
              <w:t>雁塔区区管桥梁维护、维修、巡查、电梯检测维护等。</w:t>
            </w:r>
          </w:p>
          <w:p>
            <w:pPr>
              <w:pStyle w:val="null3"/>
              <w:jc w:val="both"/>
            </w:pPr>
            <w:r>
              <w:rPr>
                <w:rFonts w:ascii="仿宋_GB2312" w:hAnsi="仿宋_GB2312" w:cs="仿宋_GB2312" w:eastAsia="仿宋_GB2312"/>
                <w:sz w:val="21"/>
              </w:rPr>
              <w:t>三、技术要求</w:t>
            </w:r>
          </w:p>
          <w:p>
            <w:pPr>
              <w:pStyle w:val="null3"/>
              <w:jc w:val="both"/>
            </w:pPr>
            <w:r>
              <w:rPr>
                <w:rFonts w:ascii="仿宋_GB2312" w:hAnsi="仿宋_GB2312" w:cs="仿宋_GB2312" w:eastAsia="仿宋_GB2312"/>
                <w:sz w:val="21"/>
              </w:rPr>
              <w:t>保证桥梁正常通行、电梯箱变正常运行和市容环境。</w:t>
            </w:r>
          </w:p>
          <w:p>
            <w:pPr>
              <w:pStyle w:val="null3"/>
              <w:jc w:val="both"/>
            </w:pPr>
            <w:r>
              <w:rPr>
                <w:rFonts w:ascii="仿宋_GB2312" w:hAnsi="仿宋_GB2312" w:cs="仿宋_GB2312" w:eastAsia="仿宋_GB2312"/>
                <w:sz w:val="21"/>
              </w:rPr>
              <w:t>四、服务要求</w:t>
            </w:r>
          </w:p>
          <w:p>
            <w:pPr>
              <w:pStyle w:val="null3"/>
              <w:jc w:val="both"/>
            </w:pPr>
            <w:r>
              <w:rPr>
                <w:rFonts w:ascii="仿宋_GB2312" w:hAnsi="仿宋_GB2312" w:cs="仿宋_GB2312" w:eastAsia="仿宋_GB2312"/>
                <w:sz w:val="21"/>
              </w:rPr>
              <w:t>1.维修效果：保证辖区桥梁正常通行，电梯箱变正常运行，当天损坏的电梯、护栏、箱变等当天进行维修或更换，必须确保人民日常通行和市容环境不受影响。</w:t>
            </w:r>
          </w:p>
          <w:p>
            <w:pPr>
              <w:pStyle w:val="null3"/>
              <w:jc w:val="both"/>
            </w:pPr>
            <w:r>
              <w:rPr>
                <w:rFonts w:ascii="仿宋_GB2312" w:hAnsi="仿宋_GB2312" w:cs="仿宋_GB2312" w:eastAsia="仿宋_GB2312"/>
                <w:sz w:val="21"/>
              </w:rPr>
              <w:t>2.维修工艺：每天必须有4人上对人行天桥巡查，发现问题立刻处理问题，确保人民日常通行和市容环境不受影响。</w:t>
            </w:r>
          </w:p>
          <w:p>
            <w:pPr>
              <w:pStyle w:val="null3"/>
              <w:jc w:val="both"/>
            </w:pPr>
            <w:r>
              <w:rPr>
                <w:rFonts w:ascii="仿宋_GB2312" w:hAnsi="仿宋_GB2312" w:cs="仿宋_GB2312" w:eastAsia="仿宋_GB2312"/>
                <w:sz w:val="21"/>
              </w:rPr>
              <w:t>3.人员设备要求</w:t>
            </w:r>
          </w:p>
          <w:p>
            <w:pPr>
              <w:pStyle w:val="null3"/>
              <w:jc w:val="both"/>
            </w:pPr>
            <w:r>
              <w:rPr>
                <w:rFonts w:ascii="仿宋_GB2312" w:hAnsi="仿宋_GB2312" w:cs="仿宋_GB2312" w:eastAsia="仿宋_GB2312"/>
                <w:sz w:val="21"/>
              </w:rPr>
              <w:t>3.1配备专业的电梯维修人员2名，日常巡查维护维修4名，天桥管理人员5名</w:t>
            </w:r>
          </w:p>
          <w:p>
            <w:pPr>
              <w:pStyle w:val="null3"/>
              <w:jc w:val="both"/>
            </w:pPr>
            <w:r>
              <w:rPr>
                <w:rFonts w:ascii="仿宋_GB2312" w:hAnsi="仿宋_GB2312" w:cs="仿宋_GB2312" w:eastAsia="仿宋_GB2312"/>
                <w:sz w:val="21"/>
              </w:rPr>
              <w:t>3.2有2辆及以上专业维修车辆，升降车、发电机、电焊机、空压机等维修工具及设备。</w:t>
            </w:r>
          </w:p>
          <w:p>
            <w:pPr>
              <w:pStyle w:val="null3"/>
              <w:jc w:val="both"/>
            </w:pPr>
            <w:r>
              <w:rPr>
                <w:rFonts w:ascii="仿宋_GB2312" w:hAnsi="仿宋_GB2312" w:cs="仿宋_GB2312" w:eastAsia="仿宋_GB2312"/>
                <w:sz w:val="21"/>
              </w:rPr>
              <w:t>3.3负责做好辖区桥梁16部电梯检测工作。</w:t>
            </w:r>
          </w:p>
          <w:p>
            <w:pPr>
              <w:pStyle w:val="null3"/>
              <w:jc w:val="both"/>
            </w:pPr>
            <w:r>
              <w:rPr>
                <w:rFonts w:ascii="仿宋_GB2312" w:hAnsi="仿宋_GB2312" w:cs="仿宋_GB2312" w:eastAsia="仿宋_GB2312"/>
                <w:sz w:val="21"/>
              </w:rPr>
              <w:t>4.安全管理要求</w:t>
            </w:r>
          </w:p>
          <w:p>
            <w:pPr>
              <w:pStyle w:val="null3"/>
              <w:jc w:val="both"/>
            </w:pPr>
            <w:r>
              <w:rPr>
                <w:rFonts w:ascii="仿宋_GB2312" w:hAnsi="仿宋_GB2312" w:cs="仿宋_GB2312" w:eastAsia="仿宋_GB2312"/>
                <w:sz w:val="21"/>
              </w:rPr>
              <w:t>做好人行天桥</w:t>
            </w:r>
            <w:r>
              <w:rPr>
                <w:rFonts w:ascii="仿宋_GB2312" w:hAnsi="仿宋_GB2312" w:cs="仿宋_GB2312" w:eastAsia="仿宋_GB2312"/>
                <w:sz w:val="21"/>
              </w:rPr>
              <w:t>16部电梯的安全管理工作，因电梯故障导致行人受伤、桥梁受损，由维护单位进行赔付。</w:t>
            </w:r>
          </w:p>
          <w:p>
            <w:pPr>
              <w:pStyle w:val="null3"/>
              <w:jc w:val="both"/>
            </w:pPr>
            <w:r>
              <w:rPr>
                <w:rFonts w:ascii="仿宋_GB2312" w:hAnsi="仿宋_GB2312" w:cs="仿宋_GB2312" w:eastAsia="仿宋_GB2312"/>
                <w:sz w:val="21"/>
              </w:rPr>
              <w:t>五、商务要求</w:t>
            </w:r>
          </w:p>
          <w:p>
            <w:pPr>
              <w:pStyle w:val="null3"/>
              <w:jc w:val="both"/>
            </w:pPr>
            <w:r>
              <w:rPr>
                <w:rFonts w:ascii="仿宋_GB2312" w:hAnsi="仿宋_GB2312" w:cs="仿宋_GB2312" w:eastAsia="仿宋_GB2312"/>
                <w:sz w:val="21"/>
              </w:rPr>
              <w:t>(一)服务期限</w:t>
            </w:r>
          </w:p>
          <w:p>
            <w:pPr>
              <w:pStyle w:val="null3"/>
              <w:jc w:val="both"/>
            </w:pPr>
            <w:r>
              <w:rPr>
                <w:rFonts w:ascii="仿宋_GB2312" w:hAnsi="仿宋_GB2312" w:cs="仿宋_GB2312" w:eastAsia="仿宋_GB2312"/>
                <w:sz w:val="21"/>
              </w:rPr>
              <w:t>合同签订后到</w:t>
            </w:r>
            <w:r>
              <w:rPr>
                <w:rFonts w:ascii="仿宋_GB2312" w:hAnsi="仿宋_GB2312" w:cs="仿宋_GB2312" w:eastAsia="仿宋_GB2312"/>
                <w:sz w:val="21"/>
              </w:rPr>
              <w:t>2027年度3月31日止。</w:t>
            </w:r>
          </w:p>
          <w:p>
            <w:pPr>
              <w:pStyle w:val="null3"/>
              <w:jc w:val="both"/>
            </w:pPr>
            <w:r>
              <w:rPr>
                <w:rFonts w:ascii="仿宋_GB2312" w:hAnsi="仿宋_GB2312" w:cs="仿宋_GB2312" w:eastAsia="仿宋_GB2312"/>
                <w:sz w:val="21"/>
              </w:rPr>
              <w:t>(二)款项结算</w:t>
            </w:r>
          </w:p>
          <w:p>
            <w:pPr>
              <w:pStyle w:val="null3"/>
              <w:jc w:val="both"/>
            </w:pPr>
            <w:r>
              <w:rPr>
                <w:rFonts w:ascii="仿宋_GB2312" w:hAnsi="仿宋_GB2312" w:cs="仿宋_GB2312" w:eastAsia="仿宋_GB2312"/>
                <w:sz w:val="21"/>
              </w:rPr>
              <w:t>一次性支付，成果交付验收合格并经审计后</w:t>
            </w:r>
            <w:r>
              <w:rPr>
                <w:rFonts w:ascii="仿宋_GB2312" w:hAnsi="仿宋_GB2312" w:cs="仿宋_GB2312" w:eastAsia="仿宋_GB2312"/>
                <w:sz w:val="21"/>
              </w:rPr>
              <w:t>,5日</w:t>
            </w:r>
            <w:r>
              <w:rPr>
                <w:rFonts w:ascii="仿宋_GB2312" w:hAnsi="仿宋_GB2312" w:cs="仿宋_GB2312" w:eastAsia="仿宋_GB2312"/>
                <w:sz w:val="21"/>
              </w:rPr>
              <w:t>内支付维修维护服务的全额价款。</w:t>
            </w:r>
          </w:p>
          <w:p>
            <w:pPr>
              <w:pStyle w:val="null3"/>
              <w:jc w:val="both"/>
            </w:pPr>
            <w:r>
              <w:rPr>
                <w:rFonts w:ascii="仿宋_GB2312" w:hAnsi="仿宋_GB2312" w:cs="仿宋_GB2312" w:eastAsia="仿宋_GB2312"/>
                <w:sz w:val="21"/>
              </w:rPr>
              <w:t>六、其他</w:t>
            </w:r>
          </w:p>
          <w:p>
            <w:pPr>
              <w:pStyle w:val="null3"/>
              <w:jc w:val="both"/>
            </w:pPr>
            <w:r>
              <w:rPr>
                <w:rFonts w:ascii="仿宋_GB2312" w:hAnsi="仿宋_GB2312" w:cs="仿宋_GB2312" w:eastAsia="仿宋_GB2312"/>
                <w:sz w:val="21"/>
              </w:rPr>
              <w:t>(一)成果交付要求</w:t>
            </w:r>
          </w:p>
          <w:p>
            <w:pPr>
              <w:pStyle w:val="null3"/>
              <w:jc w:val="both"/>
            </w:pPr>
            <w:r>
              <w:rPr>
                <w:rFonts w:ascii="仿宋_GB2312" w:hAnsi="仿宋_GB2312" w:cs="仿宋_GB2312" w:eastAsia="仿宋_GB2312"/>
                <w:sz w:val="21"/>
              </w:rPr>
              <w:t>1、维修维护效果：保证辖区桥梁正常通行，电梯箱变正常运行，当天损坏的电梯、护栏等当天进行维修或更换，必须确保人民日常通行和市容环境不受影响</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二</w:t>
            </w:r>
            <w:r>
              <w:rPr>
                <w:rFonts w:ascii="仿宋_GB2312" w:hAnsi="仿宋_GB2312" w:cs="仿宋_GB2312" w:eastAsia="仿宋_GB2312"/>
                <w:sz w:val="21"/>
              </w:rPr>
              <w:t>)质量验收标准或规范</w:t>
            </w:r>
          </w:p>
          <w:p>
            <w:pPr>
              <w:pStyle w:val="null3"/>
              <w:jc w:val="both"/>
            </w:pPr>
            <w:r>
              <w:rPr>
                <w:rFonts w:ascii="仿宋_GB2312" w:hAnsi="仿宋_GB2312" w:cs="仿宋_GB2312" w:eastAsia="仿宋_GB2312"/>
                <w:sz w:val="21"/>
              </w:rPr>
              <w:t>国家或行业验收质量合格标准。</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三</w:t>
            </w:r>
            <w:r>
              <w:rPr>
                <w:rFonts w:ascii="仿宋_GB2312" w:hAnsi="仿宋_GB2312" w:cs="仿宋_GB2312" w:eastAsia="仿宋_GB2312"/>
                <w:sz w:val="21"/>
              </w:rPr>
              <w:t>)违约责任</w:t>
            </w:r>
          </w:p>
          <w:p>
            <w:pPr>
              <w:pStyle w:val="null3"/>
              <w:jc w:val="both"/>
            </w:pPr>
            <w:r>
              <w:rPr>
                <w:rFonts w:ascii="仿宋_GB2312" w:hAnsi="仿宋_GB2312" w:cs="仿宋_GB2312" w:eastAsia="仿宋_GB2312"/>
                <w:sz w:val="21"/>
              </w:rPr>
              <w:t>未按合同要求提供货物或服务不能满足要求，会同监督机构有权终止合同，对成交供应商违约行为进行追究，同时按政府采购法的有关规定进行相应的处罚。</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详见技术参数与性能指标</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详见技术参数与性能指标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详见技术参数与性能指标</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合同签订后到2027年度3月31日止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西安市雁塔区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国家或行业验收质量合格标准。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成果交付验收合格并经审计后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按采购人要求执行。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（1）为顺利推进政府采购电子化交易平台试点应用工作，供应商需要在线提交所有通过电子化交易平台实施的政府采购项目的响应文件，发布成交结果公告后，成交供应商应及时向采购代理机构 提交一正一副，书籍（胶装）方式装订的盖章的纸质文件，若正本和副本不一致的，以正本为准。送至西安市高新区锦业一路与丈八二路十字东南角永威时代中心30楼3001室。（2）供应商务必在开标截止时间30分钟前，通过项目电子化交易系统进行签到，如未进行签到，产生的一切后果由供应商自行承担。 （3）供应商的磋商报价包括人工费，管理费，税费等所有费用，并符合计价规则。（4）签名是指手写签名或者加盖姓名章， 盖章是指加盖单位印章。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具有独立承担民事责任能力的法人、其他组织或自然人（提供合法有效的统一社会信用代码营业执照）；2、具有良好的商业信誉和健全的财务会计制度（提供2024或2025年度经审计的财务审计报告（成立时间至磋商截止时间不足一年的可提供成立后任意时段的资产负债表）或磋商截止时间前六个月内其基本账户银行出具的资信证明或政府采购信用担保机构出具的担保函；(以上三种形式的资料提供任何一种即可)）；3、具有履行合同所必需的设备和专业技术能力的书面声明（格式详见附件）；4、有依法缴纳社会保障资金的良好记录（提供2025年9月1日至磋商截止时间前任意一个月已缴纳的社会保障资金的凭据，依法不需要缴纳社会保障资金的投标人应提供相关文件证明）5、有依法缴纳税收的良好记录（提供2025年9月1日至磋商截止时间前任意一个月的纳税证明或完税证明，凭据应有税务机关或代收机关的公章或业务专用章。依法免税或无须缴纳税收的供应商，应提供相应证明文件） 6、参加政府采购活动前3年内在经营活动中没有重大违法记录的书面声明（格式详见附件）。</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具有良好的商业信誉和健全的财务会计制度，提供2024或2025年度经审计的财务审计报告（成立时间至磋商截止时间不足一年的可提供成立后任意时段的资产负债表）或磋商截止时间前六个月内其基本账户银行出具的资信证明或政府采购信用担保机构出具的担保函；(以上三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参与的供应商（联合体）服务全部由符合政策要求的中小微企业或监狱企业或残疾人福利性单位承接。</w:t>
            </w:r>
          </w:p>
        </w:tc>
        <w:tc>
          <w:tcPr>
            <w:tcW w:type="dxa" w:w="1661"/>
          </w:tcPr>
          <w:p>
            <w:pPr>
              <w:pStyle w:val="null3"/>
            </w:pPr>
            <w:r>
              <w:rPr>
                <w:rFonts w:ascii="仿宋_GB2312" w:hAnsi="仿宋_GB2312" w:cs="仿宋_GB2312" w:eastAsia="仿宋_GB2312"/>
              </w:rPr>
              <w:t>中小企业声明函 残疾人福利性单位声明函 资格证明文件.docx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法定代表人授权委托书（附法定代表人身份证复印件及被授权人身份证复印件）；法定代表人直接参加磋商只需提供法定代表人身份证明书（附法定代表人身份证复印件）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供应商须具有建设行政主管部门颁发的市政公用工程施工总承包三级及以上资质，且具备有效的安全生产许可证。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zxgk.court.gov.cn）和重大税收违法失信主体的供应商，不得为中国政府采购网（www.ccgp.gov.cn）政府采购严重违法失信行为记录名单中被财政部门禁止参加政府采购活动的供应商。（投标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符合磋商文件签署、盖章要求</w:t>
            </w:r>
          </w:p>
        </w:tc>
        <w:tc>
          <w:tcPr>
            <w:tcW w:type="dxa" w:w="1661"/>
          </w:tcPr>
          <w:p>
            <w:pPr>
              <w:pStyle w:val="null3"/>
            </w:pPr>
            <w:r>
              <w:rPr>
                <w:rFonts w:ascii="仿宋_GB2312" w:hAnsi="仿宋_GB2312" w:cs="仿宋_GB2312" w:eastAsia="仿宋_GB2312"/>
              </w:rPr>
              <w:t>业绩.docx 服务内容及服务邀请应答表 中小企业声明函 报价表 资格证明文件.docx 响应文件封面 残疾人福利性单位声明函 标的清单 响应函 商务条款偏离表.docx 服务方案.docx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磋商报价未超出采购预算或最高限价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磋商内容</w:t>
            </w:r>
          </w:p>
        </w:tc>
        <w:tc>
          <w:tcPr>
            <w:tcW w:type="dxa" w:w="3322"/>
          </w:tcPr>
          <w:p>
            <w:pPr>
              <w:pStyle w:val="null3"/>
            </w:pPr>
            <w:r>
              <w:rPr>
                <w:rFonts w:ascii="仿宋_GB2312" w:hAnsi="仿宋_GB2312" w:cs="仿宋_GB2312" w:eastAsia="仿宋_GB2312"/>
              </w:rPr>
              <w:t>磋商内容数量与要求符合磋商文件要求或磋商内容的技术指标应符合磋商文件要求</w:t>
            </w:r>
          </w:p>
        </w:tc>
        <w:tc>
          <w:tcPr>
            <w:tcW w:type="dxa" w:w="1661"/>
          </w:tcPr>
          <w:p>
            <w:pPr>
              <w:pStyle w:val="null3"/>
            </w:pPr>
            <w:r>
              <w:rPr>
                <w:rFonts w:ascii="仿宋_GB2312" w:hAnsi="仿宋_GB2312" w:cs="仿宋_GB2312" w:eastAsia="仿宋_GB2312"/>
              </w:rPr>
              <w:t>服务内容及服务邀请应答表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磋商文件规定的其他情形</w:t>
            </w:r>
          </w:p>
        </w:tc>
        <w:tc>
          <w:tcPr>
            <w:tcW w:type="dxa" w:w="3322"/>
          </w:tcPr>
          <w:p>
            <w:pPr>
              <w:pStyle w:val="null3"/>
            </w:pPr>
            <w:r>
              <w:rPr>
                <w:rFonts w:ascii="仿宋_GB2312" w:hAnsi="仿宋_GB2312" w:cs="仿宋_GB2312" w:eastAsia="仿宋_GB2312"/>
              </w:rPr>
              <w:t>无其它不符合法律法规或磋商文件规定的投标无效条款</w:t>
            </w:r>
          </w:p>
        </w:tc>
        <w:tc>
          <w:tcPr>
            <w:tcW w:type="dxa" w:w="1661"/>
          </w:tcPr>
          <w:p>
            <w:pPr>
              <w:pStyle w:val="null3"/>
            </w:pPr>
            <w:r>
              <w:rPr>
                <w:rFonts w:ascii="仿宋_GB2312" w:hAnsi="仿宋_GB2312" w:cs="仿宋_GB2312" w:eastAsia="仿宋_GB2312"/>
              </w:rPr>
              <w:t>业绩.docx 服务内容及服务邀请应答表 中小企业声明函 报价表 资格证明文件.docx 响应文件封面 残疾人福利性单位声明函 标的清单 响应函 商务条款偏离表.docx 服务方案.docx 陕西省政府采购供应商拒绝政府采购领域商业贿赂承诺书.docx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对项目的理解</w:t>
            </w:r>
          </w:p>
        </w:tc>
        <w:tc>
          <w:tcPr>
            <w:tcW w:type="dxa" w:w="2492"/>
          </w:tcPr>
          <w:p>
            <w:pPr>
              <w:pStyle w:val="null3"/>
            </w:pPr>
            <w:r>
              <w:rPr>
                <w:rFonts w:ascii="仿宋_GB2312" w:hAnsi="仿宋_GB2312" w:cs="仿宋_GB2312" w:eastAsia="仿宋_GB2312"/>
              </w:rPr>
              <w:t>针对本项目提供详细的项目理解说明，内容包括但不限于：①项目背景与范围认知②核心服务目标识别③项目重难点与风险分析④服务实施总体思路。 前述要求的内容均有描述且符合本项目要求的得 8 分；每缺少一项要求的内容扣 2 分，扣完为止； 每有一项要求的内容有一处瑕疵的（瑕疵是指：对同一问题前后表述矛盾的，或逻辑不通的，或缺少关键节点，或涉及的规范及标准错误，或表述内容不完整，或不利于项目实施的情形等任意一种情形），一处扣 1 分，累计扣分不超过该项满分，扣完为止，不提供的不得分。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维护、维修方案</w:t>
            </w:r>
          </w:p>
        </w:tc>
        <w:tc>
          <w:tcPr>
            <w:tcW w:type="dxa" w:w="2492"/>
          </w:tcPr>
          <w:p>
            <w:pPr>
              <w:pStyle w:val="null3"/>
            </w:pPr>
            <w:r>
              <w:rPr>
                <w:rFonts w:ascii="仿宋_GB2312" w:hAnsi="仿宋_GB2312" w:cs="仿宋_GB2312" w:eastAsia="仿宋_GB2312"/>
              </w:rPr>
              <w:t>针对本项目提供详细的维护、维修方案，内容包括但不限于：①桥梁日常维护计划②电梯及箱变日常维护计划③维护周期与频次安排④故障响应与处置流程⑤维修工艺与技术标准⑥材料与备件保障计划 前述要求的方案内容均有描述且符合本项目要求的得 30 分；每缺少一项要求的方案内容扣5 分，扣完为止； 每有一项要求的方案内容有一处瑕疵的（瑕疵是指：对同一问题前后表述矛盾的，或逻辑不通的，或缺少关键节点，或涉及的规范及标准错误，或表述内容不完整，或不利于项目实施的情形等任意一种情形），一处扣 1 分，累计扣分不超过该项满分，扣完为止，不提供方案的不得分。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巡查方案</w:t>
            </w:r>
          </w:p>
        </w:tc>
        <w:tc>
          <w:tcPr>
            <w:tcW w:type="dxa" w:w="2492"/>
          </w:tcPr>
          <w:p>
            <w:pPr>
              <w:pStyle w:val="null3"/>
            </w:pPr>
            <w:r>
              <w:rPr>
                <w:rFonts w:ascii="仿宋_GB2312" w:hAnsi="仿宋_GB2312" w:cs="仿宋_GB2312" w:eastAsia="仿宋_GB2312"/>
              </w:rPr>
              <w:t>针对本项目提供详细的巡查方案，内容包括但不限于：①人员安排计划②车辆安排计划③巡查计划④路线安排计划。前述要求的方案内容均有描述且符合本项目要求的得 12 分；每缺少一项要求的方案内容扣 3分，扣完为止；每有一项要求的方案内容有一处瑕疵的（瑕疵是指：对同一问题前后表述矛盾的，或逻辑不通的，或缺少关键节点，或涉及的规范及标准错误，或表述内容不完整，或不利于项目实施的情形等任意一种情形），一处扣 1 分，累计扣分不超过该项满分，扣完为止，不提供方案的不得分。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针对本项目提供详细的应急措施方案，内容包括但不限于：①应急组织架构与职责②应急响应时效要求③突发事件处置流程④善后赔付与舆论应对措施。前述要求的方案内容均有描述且符合本项目要求的得 8分；每缺少一项要求的方案内容扣2 分，扣完为止；每有一项要求的方案内容有一处瑕疵的（瑕疵是指：对同一问题前后表述矛盾的，或逻辑不通的，或缺少关键节点，或涉及的规范及标准错误，或表述内容不完整，或不利于项目实施的情形等任意一种情形），一处扣 1 分，累计扣分不超过该项满分，扣完为止，不提供方案的不得分。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设备配置</w:t>
            </w:r>
          </w:p>
        </w:tc>
        <w:tc>
          <w:tcPr>
            <w:tcW w:type="dxa" w:w="2492"/>
          </w:tcPr>
          <w:p>
            <w:pPr>
              <w:pStyle w:val="null3"/>
            </w:pPr>
            <w:r>
              <w:rPr>
                <w:rFonts w:ascii="仿宋_GB2312" w:hAnsi="仿宋_GB2312" w:cs="仿宋_GB2312" w:eastAsia="仿宋_GB2312"/>
              </w:rPr>
              <w:t>针对本项目提供详细的设备配置说明，内容包括但不限于：①专业维修车辆配置②特种设备与工具配置③设备状态与维保计划； 前述要求的内容均有描述且符合本项目要求的得 6 分；每缺少一项要求的内容扣2 分，扣完为止； 每有一项要求的内容有一处瑕疵的（瑕疵是指：对同一问题前后表述矛盾的，或逻辑不通的，或缺少关键节点，或涉及的规范及标准错误，或表述内容不完整，或不利于项目实施的情形等任意一种情形），一处扣 1 分，累计扣分不超过该项满分，扣完为止，不提供说明的不得分。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在满足采购要求的人员基础上针对本项目提供详细的人员配备方案，内容包括但不限于：①岗位设置与人员数量配置②人员资质与技能要求③岗位职责分工④人员培训与考核计划。 前述要求的方案内容均有描述且符合本项目要求的得8分；每缺少一项要求的方案内容扣 2 分，扣完为止； 每有一项要求的方案内容有一处瑕疵的（瑕疵是指：对同一问题前后表述矛盾的，或逻辑不通的，或缺少关键节点，或涉及的规范及标准错误，或表述内容不完整，或不利于项目实施的情形等任意一种情形），一处扣 1 分，累计扣分不超过该项满分，扣完为止，不提供方案的不得分。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安全承诺及措施</w:t>
            </w:r>
          </w:p>
        </w:tc>
        <w:tc>
          <w:tcPr>
            <w:tcW w:type="dxa" w:w="2492"/>
          </w:tcPr>
          <w:p>
            <w:pPr>
              <w:pStyle w:val="null3"/>
            </w:pPr>
            <w:r>
              <w:rPr>
                <w:rFonts w:ascii="仿宋_GB2312" w:hAnsi="仿宋_GB2312" w:cs="仿宋_GB2312" w:eastAsia="仿宋_GB2312"/>
              </w:rPr>
              <w:t>针对本项目提供详细的安全承诺及措施。方案内容有描述且符合本项目要求的得5分； 方案内容有一处瑕疵的(瑕疵是指：对同一问题前后表述矛盾的，或逻辑不通的，或缺少关键节点，或涉及的规范及标准错误，或表述内容不完整，或不利于项目实施的情形等任意一种情形)，一处扣1分，扣完为止，不提供方案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针对本项目提供合理可行的合理化建议； 方案内容有描述且符合本项目要求的得5分； 方案内容有一处瑕疵的(瑕疵是指：对同一问题前后表述矛盾的，或逻辑不通的，或缺少关键节点，或涉及的规范及标准错误，或表述内容不完整，或不利于项目实施的情形等任意一种情形)，一处扣1分，扣完为止，不提供方案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供应商提供近2020年1月1日以来(业绩时间以合同签订日期为准)类似的项目业绩，每提供一个合同得2分，满分8分。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有效投标最低报价为基准价得满分10分；其他各投标供应商的报价得分按下列公式计算 ：（基准价/投标报价）×10。 备注：在评审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 启动异常低价响应审查的情况如下： 1、响应报价低于全部通过符合性审查供应商投标（响应）报价平均值50%的，即响应报价&lt;全部通过符合性审查供应商响应报价平均值×50%；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3、响应报价低于采购项目最高限价45%的，即响应报价&lt;采购项目最高限价×45%； 4、磋商小组基于专业判断，认为供应商报价过低，有可能影响产品质量或者不能诚信履约的其他情形。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