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版本号：HDFX-2026-Z06820260326001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西安市雁塔区2026年度地价评估等相关服务项目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HDFX-2026-Z068</w:t>
      </w:r>
      <w:r>
        <w:br/>
      </w:r>
      <w:r>
        <w:br/>
      </w:r>
      <w:r>
        <w:br/>
      </w:r>
    </w:p>
    <w:p>
      <w:pPr>
        <w:pStyle w:val="null3"/>
        <w:jc w:val="center"/>
        <w:outlineLvl w:val="2"/>
      </w:pPr>
      <w:r>
        <w:rPr>
          <w:rFonts w:ascii="仿宋_GB2312" w:hAnsi="仿宋_GB2312" w:cs="仿宋_GB2312" w:eastAsia="仿宋_GB2312"/>
          <w:sz w:val="28"/>
          <w:b/>
        </w:rPr>
        <w:t>西安市自然资源和规划局雁塔分局</w:t>
      </w:r>
    </w:p>
    <w:p>
      <w:pPr>
        <w:pStyle w:val="null3"/>
        <w:jc w:val="center"/>
        <w:outlineLvl w:val="2"/>
      </w:pPr>
      <w:r>
        <w:rPr>
          <w:rFonts w:ascii="仿宋_GB2312" w:hAnsi="仿宋_GB2312" w:cs="仿宋_GB2312" w:eastAsia="仿宋_GB2312"/>
          <w:sz w:val="28"/>
          <w:b/>
        </w:rPr>
        <w:t>陕西华达峰信项目管理有限公司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陕西华达峰信项目管理有限公司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西安市自然资源和规划局雁塔分局</w:t>
      </w:r>
      <w:r>
        <w:rPr>
          <w:rFonts w:ascii="仿宋_GB2312" w:hAnsi="仿宋_GB2312" w:cs="仿宋_GB2312" w:eastAsia="仿宋_GB2312"/>
        </w:rPr>
        <w:t>委托，拟对</w:t>
      </w:r>
      <w:r>
        <w:rPr>
          <w:rFonts w:ascii="仿宋_GB2312" w:hAnsi="仿宋_GB2312" w:cs="仿宋_GB2312" w:eastAsia="仿宋_GB2312"/>
        </w:rPr>
        <w:t>西安市雁塔区2026年度地价评估等相关服务项目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HDFX-2026-Z068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西安市雁塔区2026年度地价评估等相关服务项目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土地出让价格评估服务、土地评估咨询服务、投融资咨询服务、土地规划利用研究与政策咨询、土地征收储备供应计划服务、全民所有土地资产管理信息系统填报相关服务、土地储备专项债券全流程服务、“规土评让”评估团队伴随服务、不动产数据服务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采购包1（西安市雁塔区2026年度地价评估等相关服务）：属于专门面向中小企业采购。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1、有效的主体资格证明：具有独立承担民事责任能力的法人，其他组织或自然人，并出具合法有效的统一社会信用代码的营业执照或事业单位法人证书等国家规定的相关证明，自然人参与地提供其身份证明。</w:t>
      </w:r>
    </w:p>
    <w:p>
      <w:pPr>
        <w:pStyle w:val="null3"/>
      </w:pPr>
      <w:r>
        <w:rPr>
          <w:rFonts w:ascii="仿宋_GB2312" w:hAnsi="仿宋_GB2312" w:cs="仿宋_GB2312" w:eastAsia="仿宋_GB2312"/>
        </w:rPr>
        <w:t>2、法定代表人授权书：法定代表人授权书【附法定代表人、被授权人身份证复印件】及被授权人身份证【法定代表人参加投标只需提供本人身份证】，其他形式供应商参照法人企业执行。</w:t>
      </w:r>
    </w:p>
    <w:p>
      <w:pPr>
        <w:pStyle w:val="null3"/>
      </w:pPr>
      <w:r>
        <w:rPr>
          <w:rFonts w:ascii="仿宋_GB2312" w:hAnsi="仿宋_GB2312" w:cs="仿宋_GB2312" w:eastAsia="仿宋_GB2312"/>
        </w:rPr>
        <w:t>3、财务状况报告：提供2024或2025年度的审计报告（成立时间至提交投标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4、社保保障资金缴纳证明：提供投标截止时间前十二个月内至少一个月的社会保障资金缴存单据或社保机构开具的社会保险参保缴费情况证明，依法不需要缴纳社会保障资金的单位应提供相关证明材料。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5、税收缴纳证明：提供投标截止时间前十二个月内至少一个月的纳税证明或完税证明（任意税种，个人所得税除外），依法免税的单位应提供相关证明材料。</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7、特定资质：须具备自然资源行政主管部门关于土地估价机构的备案函。</w:t>
      </w:r>
    </w:p>
    <w:p>
      <w:pPr>
        <w:pStyle w:val="null3"/>
      </w:pPr>
      <w:r>
        <w:rPr>
          <w:rFonts w:ascii="仿宋_GB2312" w:hAnsi="仿宋_GB2312" w:cs="仿宋_GB2312" w:eastAsia="仿宋_GB2312"/>
        </w:rPr>
        <w:t>8、履行合同的书面承诺：承诺具备履行合同所必需的设备和专业技术能力。</w:t>
      </w:r>
    </w:p>
    <w:p>
      <w:pPr>
        <w:pStyle w:val="null3"/>
      </w:pPr>
      <w:r>
        <w:rPr>
          <w:rFonts w:ascii="仿宋_GB2312" w:hAnsi="仿宋_GB2312" w:cs="仿宋_GB2312" w:eastAsia="仿宋_GB2312"/>
        </w:rPr>
        <w:t>9、承诺书：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pPr>
        <w:pStyle w:val="null3"/>
      </w:pPr>
      <w:r>
        <w:rPr>
          <w:rFonts w:ascii="仿宋_GB2312" w:hAnsi="仿宋_GB2312" w:cs="仿宋_GB2312" w:eastAsia="仿宋_GB2312"/>
        </w:rPr>
        <w:t>10、非联合体声明函：本项目不接受联合体投标。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西安市自然资源和规划局雁塔分局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柴小森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029-85263777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陕西华达峰信项目管理有限公司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陕西省西安市未央区朱宏路福清商会大厦11层1101室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029-89573156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2、服务费参照《国家计委关于印发&lt;招标代理服务收费管理暂行办法&gt;的通知》（计价格[2002]1980号）规定下浮30%收取。3、成交单位服务费交纳信息 银行户名：陕西华达峰信项目管理有限公司 开户银行：中国工商银行股份有限公司西安未央支行 账 号：3700 0340 0910 0001 556 行 号：102 791 000 525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西安市自然资源和规划局雁塔分局</w:t>
      </w:r>
      <w:r>
        <w:rPr>
          <w:rFonts w:ascii="仿宋_GB2312" w:hAnsi="仿宋_GB2312" w:cs="仿宋_GB2312" w:eastAsia="仿宋_GB2312"/>
        </w:rPr>
        <w:t>和</w:t>
      </w:r>
      <w:r>
        <w:rPr>
          <w:rFonts w:ascii="仿宋_GB2312" w:hAnsi="仿宋_GB2312" w:cs="仿宋_GB2312" w:eastAsia="仿宋_GB2312"/>
        </w:rPr>
        <w:t>陕西华达峰信项目管理有限公司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西安市自然资源和规划局雁塔分局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陕西华达峰信项目管理有限公司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西安市自然资源和规划局雁塔分局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陕西华达峰信项目管理有限公司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1.满足国家相关标准、规范以及招标人需求。2.按照采购文件及所签订的合同内容执行。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联系人：韩飞</w:t>
      </w:r>
    </w:p>
    <w:p>
      <w:pPr>
        <w:pStyle w:val="null3"/>
      </w:pPr>
      <w:r>
        <w:rPr>
          <w:rFonts w:ascii="仿宋_GB2312" w:hAnsi="仿宋_GB2312" w:cs="仿宋_GB2312" w:eastAsia="仿宋_GB2312"/>
        </w:rPr>
        <w:t>联系电话：029-89573156</w:t>
      </w:r>
    </w:p>
    <w:p>
      <w:pPr>
        <w:pStyle w:val="null3"/>
      </w:pPr>
      <w:r>
        <w:rPr>
          <w:rFonts w:ascii="仿宋_GB2312" w:hAnsi="仿宋_GB2312" w:cs="仿宋_GB2312" w:eastAsia="仿宋_GB2312"/>
        </w:rPr>
        <w:t>地址：陕西省西安市未央区朱宏路福清商会大厦11层1101室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土地出让价格评估服务、土地评估咨询服务、投融资咨询服务、土地规划利用研究与政策咨询、土地征收储备供应计划服务、全民所有土地资产管理信息系统填报相关服务、土地储备专项债券全流程服务、“规土评让”评估团队伴随服务、不动产数据服务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西安市雁塔区2026年度地价评估等相关服务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标的名称：西安市雁塔区2026年度地价评估等相关服务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一、服务内容</w:t>
            </w:r>
          </w:p>
          <w:p>
            <w:pPr>
              <w:pStyle w:val="null3"/>
              <w:ind w:firstLine="400"/>
              <w:jc w:val="both"/>
            </w:pPr>
            <w:r>
              <w:rPr>
                <w:rFonts w:ascii="仿宋_GB2312" w:hAnsi="仿宋_GB2312" w:cs="仿宋_GB2312" w:eastAsia="仿宋_GB2312"/>
                <w:sz w:val="20"/>
              </w:rPr>
              <w:t>土地出让价格评估服务、土地评估咨询服务、投融资咨询服务、土地规划利用研究与政策咨询、土地征收储备供应计划服务、全民所有土地资产管理信息系统填报相关服务、土地储备专项债券全流程服务、</w:t>
            </w:r>
            <w:r>
              <w:rPr>
                <w:rFonts w:ascii="仿宋_GB2312" w:hAnsi="仿宋_GB2312" w:cs="仿宋_GB2312" w:eastAsia="仿宋_GB2312"/>
                <w:sz w:val="20"/>
              </w:rPr>
              <w:t>“规土评让”评估团队伴随服务、不动产数据服务等。</w:t>
            </w:r>
          </w:p>
          <w:p>
            <w:pPr>
              <w:pStyle w:val="null3"/>
              <w:jc w:val="both"/>
            </w:pPr>
            <w:r>
              <w:rPr>
                <w:rFonts w:ascii="仿宋_GB2312" w:hAnsi="仿宋_GB2312" w:cs="仿宋_GB2312" w:eastAsia="仿宋_GB2312"/>
                <w:sz w:val="20"/>
                <w:b/>
              </w:rPr>
              <w:t>二、服务要求</w:t>
            </w:r>
          </w:p>
          <w:p>
            <w:pPr>
              <w:pStyle w:val="null3"/>
              <w:ind w:firstLine="400"/>
              <w:jc w:val="both"/>
            </w:pPr>
            <w:r>
              <w:rPr>
                <w:rFonts w:ascii="仿宋_GB2312" w:hAnsi="仿宋_GB2312" w:cs="仿宋_GB2312" w:eastAsia="仿宋_GB2312"/>
                <w:sz w:val="20"/>
              </w:rPr>
              <w:t>1、应熟悉国家、省、市、区有关土地评估方面的法律法规及相关政策，并有一定的工作经验。</w:t>
            </w:r>
          </w:p>
          <w:p>
            <w:pPr>
              <w:pStyle w:val="null3"/>
              <w:ind w:firstLine="400"/>
              <w:jc w:val="both"/>
            </w:pPr>
            <w:r>
              <w:rPr>
                <w:rFonts w:ascii="仿宋_GB2312" w:hAnsi="仿宋_GB2312" w:cs="仿宋_GB2312" w:eastAsia="仿宋_GB2312"/>
                <w:sz w:val="20"/>
              </w:rPr>
              <w:t>2、按照土地评估的工作程序和纪律，独立规范地开展工作，在规定期限内完成任务，对出具报告的客观公正性、检查数据和材料的真实性、完整性等负责；依法开展相关的工作，对工作情况、成果的真实性、准确性负责。</w:t>
            </w:r>
          </w:p>
          <w:p>
            <w:pPr>
              <w:pStyle w:val="null3"/>
              <w:jc w:val="both"/>
            </w:pPr>
            <w:r>
              <w:rPr>
                <w:rFonts w:ascii="仿宋_GB2312" w:hAnsi="仿宋_GB2312" w:cs="仿宋_GB2312" w:eastAsia="仿宋_GB2312"/>
                <w:sz w:val="20"/>
                <w:b/>
              </w:rPr>
              <w:t>三、进度要求及服务地点</w:t>
            </w:r>
          </w:p>
          <w:p>
            <w:pPr>
              <w:pStyle w:val="null3"/>
              <w:ind w:firstLine="400"/>
              <w:jc w:val="both"/>
            </w:pPr>
            <w:r>
              <w:rPr>
                <w:rFonts w:ascii="仿宋_GB2312" w:hAnsi="仿宋_GB2312" w:cs="仿宋_GB2312" w:eastAsia="仿宋_GB2312"/>
                <w:sz w:val="20"/>
              </w:rPr>
              <w:t>按时完成招标人对评估项目的进度要求。</w:t>
            </w:r>
          </w:p>
          <w:p>
            <w:pPr>
              <w:pStyle w:val="null3"/>
              <w:ind w:firstLine="400"/>
              <w:jc w:val="both"/>
            </w:pPr>
            <w:r>
              <w:rPr>
                <w:rFonts w:ascii="仿宋_GB2312" w:hAnsi="仿宋_GB2312" w:cs="仿宋_GB2312" w:eastAsia="仿宋_GB2312"/>
                <w:sz w:val="20"/>
              </w:rPr>
              <w:t>合同履行期限：自合同签订之日起一年</w:t>
            </w:r>
          </w:p>
          <w:p>
            <w:pPr>
              <w:pStyle w:val="null3"/>
              <w:ind w:firstLine="400"/>
              <w:jc w:val="both"/>
            </w:pPr>
            <w:r>
              <w:rPr>
                <w:rFonts w:ascii="仿宋_GB2312" w:hAnsi="仿宋_GB2312" w:cs="仿宋_GB2312" w:eastAsia="仿宋_GB2312"/>
                <w:sz w:val="20"/>
              </w:rPr>
              <w:t>服务地点：</w:t>
            </w:r>
            <w:r>
              <w:rPr>
                <w:rFonts w:ascii="仿宋_GB2312" w:hAnsi="仿宋_GB2312" w:cs="仿宋_GB2312" w:eastAsia="仿宋_GB2312"/>
                <w:sz w:val="20"/>
              </w:rPr>
              <w:t>采购</w:t>
            </w:r>
            <w:r>
              <w:rPr>
                <w:rFonts w:ascii="仿宋_GB2312" w:hAnsi="仿宋_GB2312" w:cs="仿宋_GB2312" w:eastAsia="仿宋_GB2312"/>
                <w:sz w:val="20"/>
              </w:rPr>
              <w:t>人</w:t>
            </w:r>
            <w:r>
              <w:rPr>
                <w:rFonts w:ascii="仿宋_GB2312" w:hAnsi="仿宋_GB2312" w:cs="仿宋_GB2312" w:eastAsia="仿宋_GB2312"/>
                <w:sz w:val="20"/>
              </w:rPr>
              <w:t>指定地点</w:t>
            </w:r>
          </w:p>
          <w:p>
            <w:pPr>
              <w:pStyle w:val="null3"/>
              <w:jc w:val="both"/>
            </w:pPr>
            <w:r>
              <w:rPr>
                <w:rFonts w:ascii="仿宋_GB2312" w:hAnsi="仿宋_GB2312" w:cs="仿宋_GB2312" w:eastAsia="仿宋_GB2312"/>
                <w:sz w:val="20"/>
                <w:b/>
              </w:rPr>
              <w:t>四、质量标准：</w:t>
            </w:r>
            <w:r>
              <w:rPr>
                <w:rFonts w:ascii="仿宋_GB2312" w:hAnsi="仿宋_GB2312" w:cs="仿宋_GB2312" w:eastAsia="仿宋_GB2312"/>
                <w:sz w:val="20"/>
              </w:rPr>
              <w:t>满足国家相关标准、规范以及招标人需求。</w:t>
            </w:r>
          </w:p>
          <w:p>
            <w:pPr>
              <w:pStyle w:val="null3"/>
              <w:jc w:val="both"/>
            </w:pPr>
            <w:r>
              <w:rPr>
                <w:rFonts w:ascii="仿宋_GB2312" w:hAnsi="仿宋_GB2312" w:cs="仿宋_GB2312" w:eastAsia="仿宋_GB2312"/>
                <w:sz w:val="20"/>
                <w:b/>
              </w:rPr>
              <w:t>五、评估计费标准</w:t>
            </w:r>
          </w:p>
          <w:p>
            <w:pPr>
              <w:pStyle w:val="null3"/>
              <w:ind w:firstLine="400"/>
              <w:jc w:val="both"/>
            </w:pPr>
            <w:r>
              <w:rPr>
                <w:rFonts w:ascii="仿宋_GB2312" w:hAnsi="仿宋_GB2312" w:cs="仿宋_GB2312" w:eastAsia="仿宋_GB2312"/>
                <w:sz w:val="20"/>
              </w:rPr>
              <w:t>1、土地</w:t>
            </w:r>
            <w:r>
              <w:rPr>
                <w:rFonts w:ascii="仿宋_GB2312" w:hAnsi="仿宋_GB2312" w:cs="仿宋_GB2312" w:eastAsia="仿宋_GB2312"/>
                <w:sz w:val="20"/>
              </w:rPr>
              <w:t>出让</w:t>
            </w:r>
            <w:r>
              <w:rPr>
                <w:rFonts w:ascii="仿宋_GB2312" w:hAnsi="仿宋_GB2312" w:cs="仿宋_GB2312" w:eastAsia="仿宋_GB2312"/>
                <w:sz w:val="20"/>
              </w:rPr>
              <w:t>价格评估服务：评估服务费参照《西安市自然资源和规划局</w:t>
            </w:r>
            <w:r>
              <w:rPr>
                <w:rFonts w:ascii="仿宋_GB2312" w:hAnsi="仿宋_GB2312" w:cs="仿宋_GB2312" w:eastAsia="仿宋_GB2312"/>
                <w:sz w:val="20"/>
              </w:rPr>
              <w:t>西安市财政局关于印发</w:t>
            </w:r>
            <w:r>
              <w:rPr>
                <w:rFonts w:ascii="仿宋_GB2312" w:hAnsi="仿宋_GB2312" w:cs="仿宋_GB2312" w:eastAsia="仿宋_GB2312"/>
                <w:sz w:val="20"/>
              </w:rPr>
              <w:t>&lt;西安市加强国土空间详细规划、实施详细规划、宗地规划许可和“规土评让”一体化组织管理及相关规划计费指引（试行）&gt;的通知》（市资源发〔2025〕127 号）规定执行。</w:t>
            </w:r>
          </w:p>
          <w:p>
            <w:pPr>
              <w:pStyle w:val="null3"/>
              <w:ind w:firstLine="400"/>
              <w:jc w:val="both"/>
            </w:pPr>
            <w:r>
              <w:rPr>
                <w:rFonts w:ascii="仿宋_GB2312" w:hAnsi="仿宋_GB2312" w:cs="仿宋_GB2312" w:eastAsia="仿宋_GB2312"/>
                <w:sz w:val="20"/>
              </w:rPr>
              <w:t>2、土地评估咨询服务</w:t>
            </w:r>
            <w:r>
              <w:rPr>
                <w:rFonts w:ascii="仿宋_GB2312" w:hAnsi="仿宋_GB2312" w:cs="仿宋_GB2312" w:eastAsia="仿宋_GB2312"/>
                <w:sz w:val="20"/>
              </w:rPr>
              <w:t>、</w:t>
            </w:r>
            <w:r>
              <w:rPr>
                <w:rFonts w:ascii="仿宋_GB2312" w:hAnsi="仿宋_GB2312" w:cs="仿宋_GB2312" w:eastAsia="仿宋_GB2312"/>
                <w:sz w:val="20"/>
              </w:rPr>
              <w:t>投融资咨询服务；</w:t>
            </w:r>
            <w:r>
              <w:rPr>
                <w:rFonts w:ascii="仿宋_GB2312" w:hAnsi="仿宋_GB2312" w:cs="仿宋_GB2312" w:eastAsia="仿宋_GB2312"/>
                <w:sz w:val="20"/>
              </w:rPr>
              <w:t>服务费参照国家计委、国家土地管理局《关于土地价格评估收费的通知》</w:t>
            </w:r>
            <w:r>
              <w:rPr>
                <w:rFonts w:ascii="仿宋_GB2312" w:hAnsi="仿宋_GB2312" w:cs="仿宋_GB2312" w:eastAsia="仿宋_GB2312"/>
                <w:sz w:val="20"/>
              </w:rPr>
              <w:t>(计价格[1994]2017号 )规定执行。</w:t>
            </w:r>
          </w:p>
          <w:p>
            <w:pPr>
              <w:pStyle w:val="null3"/>
              <w:ind w:firstLine="400"/>
              <w:jc w:val="both"/>
            </w:pPr>
            <w:r>
              <w:rPr>
                <w:rFonts w:ascii="仿宋_GB2312" w:hAnsi="仿宋_GB2312" w:cs="仿宋_GB2312" w:eastAsia="仿宋_GB2312"/>
                <w:sz w:val="20"/>
              </w:rPr>
              <w:t>3、土地规划利用研究与政策咨询服务等：根据工作成果据实结算服务费。</w:t>
            </w:r>
          </w:p>
          <w:p>
            <w:pPr>
              <w:pStyle w:val="null3"/>
              <w:jc w:val="both"/>
            </w:pPr>
            <w:r>
              <w:rPr>
                <w:rFonts w:ascii="仿宋_GB2312" w:hAnsi="仿宋_GB2312" w:cs="仿宋_GB2312" w:eastAsia="仿宋_GB2312"/>
                <w:sz w:val="20"/>
                <w:b/>
              </w:rPr>
              <w:t>六、合同实施</w:t>
            </w:r>
          </w:p>
          <w:p>
            <w:pPr>
              <w:pStyle w:val="null3"/>
              <w:ind w:firstLine="400"/>
              <w:jc w:val="both"/>
            </w:pPr>
            <w:r>
              <w:rPr>
                <w:rFonts w:ascii="仿宋_GB2312" w:hAnsi="仿宋_GB2312" w:cs="仿宋_GB2312" w:eastAsia="仿宋_GB2312"/>
                <w:sz w:val="20"/>
              </w:rPr>
              <w:t>1、中标人应在合同签订后7个日历日内安排人员（项目组成人员简历表所列）与使用单位就本项目工作进行安排、部署。</w:t>
            </w:r>
          </w:p>
          <w:p>
            <w:pPr>
              <w:pStyle w:val="null3"/>
              <w:ind w:firstLine="400"/>
              <w:jc w:val="both"/>
            </w:pPr>
            <w:r>
              <w:rPr>
                <w:rFonts w:ascii="仿宋_GB2312" w:hAnsi="仿宋_GB2312" w:cs="仿宋_GB2312" w:eastAsia="仿宋_GB2312"/>
                <w:sz w:val="20"/>
              </w:rPr>
              <w:t>2、若未能在服务周期内完成合同规定的义务，由此对采购人造成的延误和一切损失，由中标人承担和赔偿。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因系统技术原因，本项目支付方式以此处描述为准。支付方式如下：1、土地出让价格评估服务：评估服务费参照《西安市自然资源和规划局 西安市财政局关于印发&lt;西安市加强国土空间详细规划、实施详细规划、宗地规划许可和“规土评让”一体化组织管理及相关规划计费指引（试行）&gt;的通知》（市资源发〔2025〕127 号）规定执行。 2、土地评估咨询服务、投融资咨询服务；服务费参照国家计委、国家土地管理局《关于土地价格评估收费的通知》(计价格[1994]2017号 )规定执行。 3、土地规划利用研究与政策咨询服务等：根据工作成果据实结算服务费。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1.满足国家相关标准、规范以及招标人需求。2.按照采购文件及所签订的合同内容执行。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根据工作成果据实结算服务费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1、违约责任按《中华人民共和国民法典》处理中的相关条款执行。 2、未按合同要求提供服务或服务质量不能满足本次采购要求，甲方会同监督机构有权终止合同和对乙方违约行为进行追究，同时按政府采购法的有关规定进行相应的处罚。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报价要求：（1）供应商应结合项目招标要求、自身生产或供应能力、价格水平、货物及服务的全周期综合成本进行报价。（2）供应商在填报报价时应综合考虑以下各类价格组成内容，包括但不限于人工费、设备费（主材及辅材）、保险、利润、规费、税金、运输费等与之相关的一切直接费、间接费。要求的其他相关费用以本竞争性磋商文件的内容和要求作为投标依据。2、为顺利推进政府采购电子化交易平台试点应用工作，供应商需要在线提交所有通过电子化交易平台实施的政府采购项目的响应文件，发布成交结果公告后，成交供应商应及时向采购代理机构 提交一正二副，书籍（胶装）方式装订的盖章的纸质文件，若正本和副本不一致的，以正本为准。送至陕西省西安市未央区朱宏路福清商会大厦11楼1101室（陕西华达峰信项目管理有限公司）。 3、供应商务必在开标截止时间30分钟前，通过项目电子化交易系统进行签到，如未进行签到，产生的一起后果由供应商自行承担。4、本项目需落实的政府采购政策：（1）《国务院办公厅关于建立政府强制采购节能产品制度的通知》（国办发〔2007〕51号）；（2）《关于印发环境标志产品政府采购品目清单的通知》（财库〔2019〕18号）（3）《关于印发节能产品政府采购品目清单的通知》（财库〔2019〕19号）（4）《财政部 司法部关于政府采购支持监狱企业发展有关问题的通知》（财库〔2014〕68号）；（5）《关于促进残疾人就业政府采购政策的通知》（财库〔2017〕141号）；（6）《关于调整优化节能产品、环境标志产品政府采购执行机制的通知》（财库〔2019〕9号）；（7）《关于运用政府采购政策支持乡村产业振兴的通知》（财库〔2021〕19号）；（8）《政府采购促进中小企业发展管理办法》（财库〔2020〕46号）；（9）《陕西省财政厅关于印发&lt;陕西省中小企业政府采购信用融资办法&gt;的通知》（陕财办采〔2018〕23 号）；（10）陕西省财政厅《关于进一步加强政府绿色采购有关问题的通知》（陕财办采〔2021〕29号）；（11）《关于进一步加大政府采购支持中小企业力度的通知》（财库〔2022〕19号）；（12）《关于扩大政府采购支持绿色建材促进建筑品质提升政策实施范围的通知》（财库〔2022〕35号）；（13）陕西省财政厅 中国人民银行西安分行关于深入推进政府采购信用融资业务通知(陕财办采〔2023〕5号)；（14）其他需执行的政府采购政策。5、本项目专门面向中小企业采购。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响应文件（格式）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具有独立承担民事责任能力的法人，其他组织或自然人，并出具合法有效的统一社会信用代码的营业执照或事业单位法人证书等国家规定的相关证明，自然人参与地提供其身份证明。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法定代表人授权书【附法定代表人、被授权人身份证复印件】及被授权人身份证【法定代表人参加投标只需提供本人身份证】，其他形式供应商参照法人企业执行。</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提供2024或2025年度的审计报告（成立时间至提交投标文件截止时间不足一年的可提供成立后任意时段的资产负债表），或其基本存款账户开户银行出具的资信证明及基本存款账户开户许可证（基本账户信息表）。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社保保障资金缴纳证明</w:t>
            </w:r>
          </w:p>
        </w:tc>
        <w:tc>
          <w:tcPr>
            <w:tcW w:type="dxa" w:w="3322"/>
          </w:tcPr>
          <w:p>
            <w:pPr>
              <w:pStyle w:val="null3"/>
            </w:pPr>
            <w:r>
              <w:rPr>
                <w:rFonts w:ascii="仿宋_GB2312" w:hAnsi="仿宋_GB2312" w:cs="仿宋_GB2312" w:eastAsia="仿宋_GB2312"/>
              </w:rPr>
              <w:t>提供投标截止时间前十二个月内至少一个月的社会保障资金缴存单据或社保机构开具的社会保险参保缴费情况证明，依法不需要缴纳社会保障资金的单位应提供相关证明材料。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提供投标截止时间前十二个月内至少一个月的纳税证明或完税证明（任意税种，个人所得税除外），依法免税的单位应提供相关证明材料。</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须具备自然资源行政主管部门关于土地估价机构的备案函。</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履行合同的书面承诺</w:t>
            </w:r>
          </w:p>
        </w:tc>
        <w:tc>
          <w:tcPr>
            <w:tcW w:type="dxa" w:w="3322"/>
          </w:tcPr>
          <w:p>
            <w:pPr>
              <w:pStyle w:val="null3"/>
            </w:pPr>
            <w:r>
              <w:rPr>
                <w:rFonts w:ascii="仿宋_GB2312" w:hAnsi="仿宋_GB2312" w:cs="仿宋_GB2312" w:eastAsia="仿宋_GB2312"/>
              </w:rPr>
              <w:t>承诺具备履行合同所必需的设备和专业技术能力。</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响应文件（格式）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内容无重大缺漏项，报价唯一，且没有高于采购预算及最高限价。</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响应文件的签署、加盖印章是否合格、有效；提供的相关证明文件、数据、资料是否齐全、有效。</w:t>
            </w:r>
          </w:p>
        </w:tc>
        <w:tc>
          <w:tcPr>
            <w:tcW w:type="dxa" w:w="1661"/>
          </w:tcPr>
          <w:p>
            <w:pPr>
              <w:pStyle w:val="null3"/>
            </w:pPr>
            <w:r>
              <w:rPr>
                <w:rFonts w:ascii="仿宋_GB2312" w:hAnsi="仿宋_GB2312" w:cs="仿宋_GB2312" w:eastAsia="仿宋_GB2312"/>
              </w:rPr>
              <w:t>响应文件封面 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异常低价投标审查</w:t>
            </w:r>
          </w:p>
        </w:tc>
        <w:tc>
          <w:tcPr>
            <w:tcW w:type="dxa" w:w="3322"/>
          </w:tcPr>
          <w:p>
            <w:pPr>
              <w:pStyle w:val="null3"/>
            </w:pPr>
            <w:r>
              <w:rPr>
                <w:rFonts w:ascii="仿宋_GB2312" w:hAnsi="仿宋_GB2312" w:cs="仿宋_GB2312" w:eastAsia="仿宋_GB2312"/>
              </w:rPr>
              <w:t>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其他无效投标情形</w:t>
            </w:r>
          </w:p>
        </w:tc>
        <w:tc>
          <w:tcPr>
            <w:tcW w:type="dxa" w:w="3322"/>
          </w:tcPr>
          <w:p>
            <w:pPr>
              <w:pStyle w:val="null3"/>
            </w:pPr>
            <w:r>
              <w:rPr>
                <w:rFonts w:ascii="仿宋_GB2312" w:hAnsi="仿宋_GB2312" w:cs="仿宋_GB2312" w:eastAsia="仿宋_GB2312"/>
              </w:rPr>
              <w:t>无磋商文件规定的其他无效投标情形。</w:t>
            </w:r>
          </w:p>
        </w:tc>
        <w:tc>
          <w:tcPr>
            <w:tcW w:type="dxa" w:w="1661"/>
          </w:tcPr>
          <w:p>
            <w:pPr>
              <w:pStyle w:val="null3"/>
            </w:pPr>
            <w:r>
              <w:rPr>
                <w:rFonts w:ascii="仿宋_GB2312" w:hAnsi="仿宋_GB2312" w:cs="仿宋_GB2312" w:eastAsia="仿宋_GB2312"/>
              </w:rPr>
              <w:t>响应文件（格式）</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供应商针对本项目提供总体服务方案，需充分结合项目实际情况，满足采购需求，方案内容完整、具体、可行、科学合理。 1、评审内容： ①工作难点、重点分析； ②工作流程评估； ③技术方案是否符合国家及省市相关规定； ④服务实施方案科学合理； ⑤评估报告准确性及时效性的承诺； ⑥合理可行的成果质量管理与检查制度； ⑦针对本项目合理化建议。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3、赋分标准：每一项评审内容满足每一项评审标准的得4分，最多得28分。每一项内容相对每一项评审标准存在一处漏洞或缺陷扣1.4分，扣完为止。未提供相关评审内容的，该项得0分。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供应商针对本项目提供服务质量保证措施，内容需结合前述实施方案，并考虑结合项目实际，能够切实保证服务质量。 1、评审内容: ①评估工作质量保障措施； ②评估工作进度保障措施； ③完善的数据安全保密措施； ④配合、协调管理措施； ⑤合理、有效的解决争议的措施。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3、赋分标准：每一项评审内容满足每一项评审标准的得4分，最多得20分。每一项内容相对每一项评审标准存在一处漏洞或缺陷扣1.4分，扣完为止。未提供相关评审内容的，该项得0分。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供应商针对本项目提供应急预案，内容全面、详细、准确，并贴合项目实际需求。 1、评审内容： ①应急组织架构及配置； ②各场景应对方案及保障措施； ③应急响应机制及流程。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3、赋分标准：每一项评审内容满足每一项评审标准的得4分，最多得12分。每一项内容相对每一项评审标准存在一处漏洞或缺陷扣1.4分，扣完为止。未提供相关评审内容的，该项得0分。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1、项目负责人具有高级经济师或以上职称得6分，中级职称得3分，其他不得分； 2、对本项目拟投入的团队人员，包括：①团队人员分工、职责；②团队人员数量、名单及经验能力证明材料；③人员管理制度及方案；满分12分。每有一项缺项扣4分，每有一项内容中有缺陷，指项目需求不匹配或不能满足项目实施要求及其他不利于项目实施或套用其他项目内容的扣2分。 注：须提供供应商为以上人员缴纳的近十二个月内任意一个月社保证明材料或劳动合同的复印件并加盖公章，材料提供不全不得分。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提供供应商2023年1月1日起至今同类项目业绩（提供合同复印件，以时间以合同签订时间为准），每提供1份有效业绩得3分，最高得12分，未提供或提供无效业绩的不得分。 注:有效业绩（合同）需至少包含首页、项目内容、签署页等关键页。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