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A2AECB">
      <w:pPr>
        <w:pStyle w:val="3"/>
        <w:spacing w:line="360" w:lineRule="auto"/>
        <w:rPr>
          <w:rFonts w:hint="eastAsia" w:ascii="仿宋" w:hAnsi="仿宋" w:eastAsia="仿宋" w:cs="仿宋"/>
        </w:rPr>
      </w:pPr>
    </w:p>
    <w:p w14:paraId="1706462F">
      <w:pPr>
        <w:pStyle w:val="3"/>
        <w:spacing w:line="360" w:lineRule="auto"/>
        <w:rPr>
          <w:rFonts w:hint="eastAsia" w:ascii="仿宋" w:hAnsi="仿宋" w:eastAsia="仿宋" w:cs="仿宋"/>
          <w:b w:val="0"/>
        </w:rPr>
      </w:pPr>
      <w:r>
        <w:rPr>
          <w:rFonts w:hint="eastAsia" w:ascii="仿宋" w:hAnsi="仿宋" w:eastAsia="仿宋" w:cs="仿宋"/>
        </w:rPr>
        <w:t>合同格式(参照)</w:t>
      </w:r>
    </w:p>
    <w:p w14:paraId="036739EF">
      <w:pPr>
        <w:spacing w:line="360" w:lineRule="auto"/>
        <w:jc w:val="center"/>
        <w:rPr>
          <w:rFonts w:hint="eastAsia" w:ascii="仿宋" w:hAnsi="仿宋" w:eastAsia="仿宋" w:cs="仿宋"/>
          <w:sz w:val="20"/>
          <w:szCs w:val="20"/>
        </w:rPr>
      </w:pPr>
      <w:r>
        <w:rPr>
          <w:rFonts w:hint="eastAsia" w:ascii="仿宋" w:hAnsi="仿宋" w:eastAsia="仿宋" w:cs="仿宋"/>
          <w:sz w:val="20"/>
          <w:szCs w:val="20"/>
        </w:rPr>
        <w:t>（此合同为草拟条款，具体签订时，双方可进行补充完善、细化等）。</w:t>
      </w:r>
    </w:p>
    <w:p w14:paraId="01A4B446">
      <w:pPr>
        <w:spacing w:line="360" w:lineRule="auto"/>
        <w:rPr>
          <w:rFonts w:hint="eastAsia" w:ascii="仿宋" w:hAnsi="仿宋" w:eastAsia="仿宋" w:cs="仿宋"/>
          <w:b/>
          <w:bCs/>
          <w:sz w:val="20"/>
          <w:szCs w:val="20"/>
        </w:rPr>
      </w:pPr>
    </w:p>
    <w:p w14:paraId="6ADFCD9A">
      <w:pPr>
        <w:autoSpaceDE w:val="0"/>
        <w:autoSpaceDN w:val="0"/>
        <w:adjustRightInd w:val="0"/>
        <w:spacing w:line="360" w:lineRule="auto"/>
        <w:rPr>
          <w:rFonts w:hint="eastAsia" w:ascii="仿宋" w:hAnsi="仿宋" w:eastAsia="仿宋" w:cs="仿宋"/>
          <w:b/>
          <w:bCs/>
          <w:kern w:val="0"/>
          <w:sz w:val="20"/>
          <w:szCs w:val="20"/>
          <w:u w:val="single"/>
        </w:rPr>
      </w:pPr>
      <w:r>
        <w:rPr>
          <w:rFonts w:hint="eastAsia" w:ascii="仿宋" w:hAnsi="仿宋" w:eastAsia="仿宋" w:cs="仿宋"/>
          <w:b/>
          <w:bCs/>
          <w:kern w:val="0"/>
          <w:sz w:val="20"/>
          <w:szCs w:val="20"/>
          <w:lang w:val="zh-CN"/>
        </w:rPr>
        <w:t>采</w:t>
      </w:r>
      <w:r>
        <w:rPr>
          <w:rFonts w:hint="eastAsia" w:ascii="仿宋" w:hAnsi="仿宋" w:eastAsia="仿宋" w:cs="仿宋"/>
          <w:b/>
          <w:bCs/>
          <w:kern w:val="0"/>
          <w:sz w:val="20"/>
          <w:szCs w:val="20"/>
        </w:rPr>
        <w:t xml:space="preserve"> </w:t>
      </w:r>
      <w:r>
        <w:rPr>
          <w:rFonts w:hint="eastAsia" w:ascii="仿宋" w:hAnsi="仿宋" w:eastAsia="仿宋" w:cs="仿宋"/>
          <w:b/>
          <w:bCs/>
          <w:kern w:val="0"/>
          <w:sz w:val="20"/>
          <w:szCs w:val="20"/>
          <w:lang w:val="zh-CN"/>
        </w:rPr>
        <w:t>购</w:t>
      </w:r>
      <w:r>
        <w:rPr>
          <w:rFonts w:hint="eastAsia" w:ascii="仿宋" w:hAnsi="仿宋" w:eastAsia="仿宋" w:cs="仿宋"/>
          <w:b/>
          <w:bCs/>
          <w:kern w:val="0"/>
          <w:sz w:val="20"/>
          <w:szCs w:val="20"/>
        </w:rPr>
        <w:t xml:space="preserve"> </w:t>
      </w:r>
      <w:r>
        <w:rPr>
          <w:rFonts w:hint="eastAsia" w:ascii="仿宋" w:hAnsi="仿宋" w:eastAsia="仿宋" w:cs="仿宋"/>
          <w:b/>
          <w:bCs/>
          <w:kern w:val="0"/>
          <w:sz w:val="20"/>
          <w:szCs w:val="20"/>
          <w:lang w:val="zh-CN"/>
        </w:rPr>
        <w:t>人（以下简称甲方）：</w:t>
      </w:r>
      <w:r>
        <w:rPr>
          <w:rFonts w:hint="eastAsia" w:ascii="仿宋" w:hAnsi="仿宋" w:eastAsia="仿宋" w:cs="仿宋"/>
          <w:b/>
          <w:bCs/>
          <w:kern w:val="0"/>
          <w:sz w:val="20"/>
          <w:szCs w:val="20"/>
          <w:u w:val="single"/>
        </w:rPr>
        <w:t xml:space="preserve">                   </w:t>
      </w:r>
    </w:p>
    <w:p w14:paraId="1047DEC3">
      <w:pPr>
        <w:autoSpaceDE w:val="0"/>
        <w:autoSpaceDN w:val="0"/>
        <w:adjustRightInd w:val="0"/>
        <w:spacing w:line="360" w:lineRule="auto"/>
        <w:rPr>
          <w:rFonts w:hint="eastAsia" w:ascii="仿宋" w:hAnsi="仿宋" w:eastAsia="仿宋" w:cs="仿宋"/>
          <w:b/>
          <w:bCs/>
          <w:kern w:val="0"/>
          <w:sz w:val="20"/>
          <w:szCs w:val="20"/>
          <w:lang w:val="zh-CN"/>
        </w:rPr>
      </w:pPr>
      <w:r>
        <w:rPr>
          <w:rFonts w:hint="eastAsia" w:ascii="仿宋" w:hAnsi="仿宋" w:eastAsia="仿宋" w:cs="仿宋"/>
          <w:b/>
          <w:bCs/>
          <w:kern w:val="0"/>
          <w:sz w:val="20"/>
          <w:szCs w:val="20"/>
          <w:lang w:val="zh-CN"/>
        </w:rPr>
        <w:t>供</w:t>
      </w:r>
      <w:r>
        <w:rPr>
          <w:rFonts w:hint="eastAsia" w:ascii="仿宋" w:hAnsi="仿宋" w:eastAsia="仿宋" w:cs="仿宋"/>
          <w:b/>
          <w:bCs/>
          <w:kern w:val="0"/>
          <w:sz w:val="20"/>
          <w:szCs w:val="20"/>
        </w:rPr>
        <w:t xml:space="preserve"> </w:t>
      </w:r>
      <w:r>
        <w:rPr>
          <w:rFonts w:hint="eastAsia" w:ascii="仿宋" w:hAnsi="仿宋" w:eastAsia="仿宋" w:cs="仿宋"/>
          <w:b/>
          <w:bCs/>
          <w:kern w:val="0"/>
          <w:sz w:val="20"/>
          <w:szCs w:val="20"/>
          <w:lang w:val="zh-CN"/>
        </w:rPr>
        <w:t>应</w:t>
      </w:r>
      <w:r>
        <w:rPr>
          <w:rFonts w:hint="eastAsia" w:ascii="仿宋" w:hAnsi="仿宋" w:eastAsia="仿宋" w:cs="仿宋"/>
          <w:b/>
          <w:bCs/>
          <w:kern w:val="0"/>
          <w:sz w:val="20"/>
          <w:szCs w:val="20"/>
        </w:rPr>
        <w:t xml:space="preserve"> </w:t>
      </w:r>
      <w:r>
        <w:rPr>
          <w:rFonts w:hint="eastAsia" w:ascii="仿宋" w:hAnsi="仿宋" w:eastAsia="仿宋" w:cs="仿宋"/>
          <w:b/>
          <w:bCs/>
          <w:kern w:val="0"/>
          <w:sz w:val="20"/>
          <w:szCs w:val="20"/>
          <w:lang w:val="zh-CN"/>
        </w:rPr>
        <w:t>商（以下简称乙方）：</w:t>
      </w:r>
      <w:r>
        <w:rPr>
          <w:rFonts w:hint="eastAsia" w:ascii="仿宋" w:hAnsi="仿宋" w:eastAsia="仿宋" w:cs="仿宋"/>
          <w:b/>
          <w:bCs/>
          <w:kern w:val="0"/>
          <w:sz w:val="20"/>
          <w:szCs w:val="20"/>
          <w:u w:val="single"/>
        </w:rPr>
        <w:t xml:space="preserve">                   </w:t>
      </w:r>
    </w:p>
    <w:p w14:paraId="7ACD2E07">
      <w:pPr>
        <w:pStyle w:val="5"/>
        <w:spacing w:line="360" w:lineRule="auto"/>
        <w:rPr>
          <w:rFonts w:hint="eastAsia" w:ascii="仿宋" w:hAnsi="仿宋" w:eastAsia="仿宋" w:cs="仿宋"/>
          <w:kern w:val="0"/>
          <w:sz w:val="20"/>
          <w:szCs w:val="20"/>
          <w:lang w:val="zh-CN"/>
        </w:rPr>
      </w:pPr>
    </w:p>
    <w:p w14:paraId="18913FFC">
      <w:pPr>
        <w:spacing w:line="360" w:lineRule="auto"/>
        <w:ind w:firstLine="402" w:firstLineChars="200"/>
        <w:jc w:val="left"/>
        <w:rPr>
          <w:rFonts w:hint="eastAsia" w:ascii="仿宋" w:hAnsi="仿宋" w:eastAsia="仿宋" w:cs="仿宋"/>
          <w:b/>
          <w:bCs/>
          <w:sz w:val="20"/>
          <w:szCs w:val="20"/>
          <w:lang w:val="zh-CN"/>
        </w:rPr>
      </w:pPr>
      <w:bookmarkStart w:id="0" w:name="_Toc79485652"/>
      <w:bookmarkStart w:id="1" w:name="_Toc12627520"/>
      <w:bookmarkStart w:id="2" w:name="_Toc55566006"/>
      <w:r>
        <w:rPr>
          <w:rFonts w:hint="eastAsia" w:ascii="仿宋" w:hAnsi="仿宋" w:eastAsia="仿宋" w:cs="仿宋"/>
          <w:b/>
          <w:bCs/>
          <w:sz w:val="20"/>
          <w:szCs w:val="20"/>
        </w:rPr>
        <w:t>一、</w:t>
      </w:r>
      <w:r>
        <w:rPr>
          <w:rFonts w:hint="eastAsia" w:ascii="仿宋" w:hAnsi="仿宋" w:eastAsia="仿宋" w:cs="仿宋"/>
          <w:b/>
          <w:bCs/>
          <w:sz w:val="20"/>
          <w:szCs w:val="20"/>
          <w:lang w:val="zh-CN"/>
        </w:rPr>
        <w:t>合同内容:</w:t>
      </w:r>
      <w:bookmarkEnd w:id="0"/>
      <w:bookmarkEnd w:id="1"/>
      <w:bookmarkEnd w:id="2"/>
    </w:p>
    <w:p w14:paraId="08680D81">
      <w:pPr>
        <w:pStyle w:val="4"/>
        <w:spacing w:line="360" w:lineRule="auto"/>
        <w:ind w:firstLine="400" w:firstLineChars="200"/>
        <w:rPr>
          <w:rFonts w:hint="eastAsia" w:ascii="仿宋" w:hAnsi="仿宋" w:eastAsia="仿宋" w:cs="仿宋"/>
          <w:color w:val="auto"/>
          <w:sz w:val="20"/>
          <w:szCs w:val="20"/>
          <w:lang w:val="zh-CN"/>
        </w:rPr>
      </w:pPr>
      <w:bookmarkStart w:id="3" w:name="_Toc79485653"/>
      <w:bookmarkStart w:id="4" w:name="_Toc55566007"/>
      <w:bookmarkStart w:id="5" w:name="_Toc12627521"/>
      <w:r>
        <w:rPr>
          <w:rFonts w:hint="eastAsia" w:ascii="仿宋" w:hAnsi="仿宋" w:eastAsia="仿宋" w:cs="仿宋"/>
          <w:color w:val="auto"/>
          <w:sz w:val="20"/>
          <w:szCs w:val="20"/>
        </w:rPr>
        <w:t>土地出让价格评估服务、土地评估咨询服务、投融资咨询服务、土地规划利用研究与政策咨询、土地征收储备供应计划服务、全民所有土地资产管理信息系统填报相关服务、土地储备专项债券全流程服务、“规土评让”评估团队伴随服务、不动产数据服务等。</w:t>
      </w:r>
    </w:p>
    <w:p w14:paraId="185AFAF9">
      <w:pPr>
        <w:pStyle w:val="4"/>
        <w:spacing w:line="360" w:lineRule="auto"/>
        <w:ind w:firstLine="402" w:firstLineChars="200"/>
        <w:rPr>
          <w:rFonts w:hint="eastAsia" w:ascii="仿宋" w:hAnsi="仿宋" w:eastAsia="仿宋" w:cs="仿宋"/>
          <w:b/>
          <w:color w:val="auto"/>
          <w:sz w:val="20"/>
          <w:szCs w:val="20"/>
          <w:lang w:val="zh-CN"/>
        </w:rPr>
      </w:pPr>
      <w:r>
        <w:rPr>
          <w:rFonts w:hint="eastAsia" w:ascii="仿宋" w:hAnsi="仿宋" w:eastAsia="仿宋" w:cs="仿宋"/>
          <w:b/>
          <w:color w:val="auto"/>
          <w:sz w:val="20"/>
          <w:szCs w:val="20"/>
          <w:lang w:val="zh-CN"/>
        </w:rPr>
        <w:t>二、合同价款</w:t>
      </w:r>
      <w:bookmarkEnd w:id="3"/>
      <w:bookmarkEnd w:id="4"/>
      <w:bookmarkEnd w:id="5"/>
    </w:p>
    <w:p w14:paraId="55E18929">
      <w:pPr>
        <w:adjustRightInd w:val="0"/>
        <w:snapToGrid w:val="0"/>
        <w:spacing w:line="360" w:lineRule="auto"/>
        <w:ind w:firstLine="400" w:firstLineChars="200"/>
        <w:rPr>
          <w:rFonts w:hint="eastAsia" w:ascii="仿宋" w:hAnsi="仿宋" w:eastAsia="仿宋" w:cs="仿宋"/>
          <w:sz w:val="20"/>
          <w:szCs w:val="20"/>
          <w:u w:val="single"/>
        </w:rPr>
      </w:pPr>
      <w:r>
        <w:rPr>
          <w:rFonts w:hint="eastAsia" w:ascii="仿宋" w:hAnsi="仿宋" w:eastAsia="仿宋" w:cs="仿宋"/>
          <w:sz w:val="20"/>
          <w:szCs w:val="20"/>
        </w:rPr>
        <w:t>1、</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u w:val="single"/>
        </w:rPr>
        <w:t>。</w:t>
      </w:r>
      <w:bookmarkStart w:id="6" w:name="_Toc55566008"/>
      <w:bookmarkStart w:id="7" w:name="_Toc12627522"/>
      <w:bookmarkStart w:id="8" w:name="_Toc79485654"/>
    </w:p>
    <w:p w14:paraId="5DC2D7C9">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val="en-US" w:eastAsia="zh-CN"/>
        </w:rPr>
        <w:t>2</w:t>
      </w:r>
      <w:r>
        <w:rPr>
          <w:rFonts w:hint="eastAsia" w:ascii="仿宋" w:hAnsi="仿宋" w:eastAsia="仿宋" w:cs="仿宋"/>
          <w:sz w:val="20"/>
          <w:szCs w:val="20"/>
        </w:rPr>
        <w:t>、</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u w:val="single"/>
        </w:rPr>
        <w:t>。</w:t>
      </w:r>
    </w:p>
    <w:p w14:paraId="546E7FC9">
      <w:pPr>
        <w:adjustRightInd w:val="0"/>
        <w:snapToGrid w:val="0"/>
        <w:spacing w:line="360" w:lineRule="auto"/>
        <w:ind w:firstLine="400" w:firstLineChars="200"/>
        <w:rPr>
          <w:rFonts w:hint="default" w:ascii="仿宋" w:hAnsi="仿宋" w:eastAsia="仿宋" w:cs="仿宋"/>
          <w:sz w:val="20"/>
          <w:szCs w:val="20"/>
          <w:lang w:val="en-US"/>
        </w:rPr>
      </w:pPr>
      <w:r>
        <w:rPr>
          <w:rFonts w:hint="eastAsia" w:ascii="仿宋" w:hAnsi="仿宋" w:eastAsia="仿宋" w:cs="仿宋"/>
          <w:sz w:val="20"/>
          <w:szCs w:val="20"/>
          <w:lang w:val="en-US" w:eastAsia="zh-CN"/>
        </w:rPr>
        <w:t>...</w:t>
      </w:r>
    </w:p>
    <w:p w14:paraId="40AE8FAE">
      <w:pPr>
        <w:pStyle w:val="4"/>
        <w:spacing w:line="360" w:lineRule="auto"/>
        <w:ind w:firstLine="402" w:firstLineChars="200"/>
        <w:rPr>
          <w:rFonts w:hint="eastAsia" w:ascii="仿宋" w:hAnsi="仿宋" w:eastAsia="仿宋" w:cs="仿宋"/>
          <w:b/>
          <w:color w:val="auto"/>
          <w:sz w:val="20"/>
          <w:szCs w:val="20"/>
          <w:lang w:val="zh-CN"/>
        </w:rPr>
      </w:pPr>
      <w:r>
        <w:rPr>
          <w:rFonts w:hint="eastAsia" w:ascii="仿宋" w:hAnsi="仿宋" w:eastAsia="仿宋" w:cs="仿宋"/>
          <w:b/>
          <w:color w:val="auto"/>
          <w:sz w:val="20"/>
          <w:szCs w:val="20"/>
          <w:lang w:val="zh-CN"/>
        </w:rPr>
        <w:t>三、合同结算</w:t>
      </w:r>
      <w:bookmarkEnd w:id="6"/>
      <w:bookmarkEnd w:id="7"/>
      <w:bookmarkEnd w:id="8"/>
    </w:p>
    <w:p w14:paraId="2BF4EBF7">
      <w:pPr>
        <w:adjustRightInd w:val="0"/>
        <w:snapToGrid w:val="0"/>
        <w:spacing w:line="360" w:lineRule="auto"/>
        <w:ind w:firstLine="400" w:firstLineChars="200"/>
        <w:rPr>
          <w:rFonts w:hint="eastAsia" w:ascii="仿宋" w:hAnsi="仿宋" w:eastAsia="仿宋" w:cs="仿宋"/>
          <w:sz w:val="20"/>
          <w:szCs w:val="20"/>
          <w:u w:val="single"/>
        </w:rPr>
      </w:pPr>
      <w:r>
        <w:rPr>
          <w:rFonts w:hint="eastAsia" w:ascii="仿宋" w:hAnsi="仿宋" w:eastAsia="仿宋" w:cs="仿宋"/>
          <w:sz w:val="20"/>
          <w:szCs w:val="20"/>
        </w:rPr>
        <w:t>1、付款</w:t>
      </w:r>
      <w:r>
        <w:rPr>
          <w:rFonts w:hint="eastAsia" w:ascii="仿宋" w:hAnsi="仿宋" w:eastAsia="仿宋" w:cs="仿宋"/>
          <w:sz w:val="20"/>
          <w:szCs w:val="20"/>
          <w:lang w:val="en-US" w:eastAsia="zh-CN"/>
        </w:rPr>
        <w:t>方式</w:t>
      </w:r>
      <w:r>
        <w:rPr>
          <w:rFonts w:hint="eastAsia" w:ascii="仿宋" w:hAnsi="仿宋" w:eastAsia="仿宋" w:cs="仿宋"/>
          <w:sz w:val="20"/>
          <w:szCs w:val="20"/>
        </w:rPr>
        <w:t>：</w:t>
      </w:r>
      <w:r>
        <w:rPr>
          <w:rFonts w:hint="eastAsia" w:ascii="仿宋" w:hAnsi="仿宋" w:eastAsia="仿宋" w:cs="仿宋"/>
          <w:sz w:val="20"/>
          <w:szCs w:val="20"/>
          <w:u w:val="single"/>
        </w:rPr>
        <w:t>1、土地出让价格评估服务：评估服务费参照《西安市自然资源和规划局 西安市财政局关于印发&lt;西安市加强国土空间详细规划、实施详细规划、宗地规划许可和“规土评让”一体化组织管理及相关规划计费指引（试行）&gt;的通知》（市资源发〔2025〕127 号）规定执行。</w:t>
      </w:r>
    </w:p>
    <w:p w14:paraId="5F3967D6">
      <w:pPr>
        <w:adjustRightInd w:val="0"/>
        <w:snapToGrid w:val="0"/>
        <w:spacing w:line="360" w:lineRule="auto"/>
        <w:ind w:firstLine="400" w:firstLineChars="200"/>
        <w:rPr>
          <w:rFonts w:hint="eastAsia" w:ascii="仿宋" w:hAnsi="仿宋" w:eastAsia="仿宋" w:cs="仿宋"/>
          <w:sz w:val="20"/>
          <w:szCs w:val="20"/>
          <w:u w:val="single"/>
        </w:rPr>
      </w:pPr>
      <w:r>
        <w:rPr>
          <w:rFonts w:hint="eastAsia" w:ascii="仿宋" w:hAnsi="仿宋" w:eastAsia="仿宋" w:cs="仿宋"/>
          <w:sz w:val="20"/>
          <w:szCs w:val="20"/>
          <w:u w:val="single"/>
        </w:rPr>
        <w:t>2、土地评估咨询服务、投融资咨询服务；服务费参照国</w:t>
      </w:r>
      <w:bookmarkStart w:id="29" w:name="_GoBack"/>
      <w:bookmarkEnd w:id="29"/>
      <w:r>
        <w:rPr>
          <w:rFonts w:hint="eastAsia" w:ascii="仿宋" w:hAnsi="仿宋" w:eastAsia="仿宋" w:cs="仿宋"/>
          <w:sz w:val="20"/>
          <w:szCs w:val="20"/>
          <w:u w:val="single"/>
        </w:rPr>
        <w:t>家计委、国家土地管理局《关于土地价格评估收费的通知》(计价格[1994]2017号 )规定执行。</w:t>
      </w:r>
    </w:p>
    <w:p w14:paraId="6E881D71">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u w:val="single"/>
        </w:rPr>
        <w:t>3、土地规划利用研究与政策咨询服务等：根据工作成果据实结算服务费。</w:t>
      </w:r>
    </w:p>
    <w:p w14:paraId="46ABD2AB">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2、结算方式：</w:t>
      </w:r>
      <w:r>
        <w:rPr>
          <w:rFonts w:hint="eastAsia" w:ascii="仿宋" w:hAnsi="仿宋" w:eastAsia="仿宋" w:cs="仿宋"/>
          <w:sz w:val="20"/>
          <w:szCs w:val="20"/>
          <w:u w:val="single"/>
        </w:rPr>
        <w:t>银行转账。</w:t>
      </w:r>
    </w:p>
    <w:p w14:paraId="00CFDDC5">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3、结算单位：</w:t>
      </w:r>
      <w:r>
        <w:rPr>
          <w:rFonts w:hint="eastAsia" w:ascii="仿宋" w:hAnsi="仿宋" w:eastAsia="仿宋" w:cs="仿宋"/>
          <w:sz w:val="20"/>
          <w:szCs w:val="20"/>
          <w:u w:val="single"/>
        </w:rPr>
        <w:t>由</w:t>
      </w:r>
      <w:r>
        <w:rPr>
          <w:rFonts w:hint="eastAsia" w:ascii="仿宋" w:hAnsi="仿宋" w:eastAsia="仿宋" w:cs="仿宋"/>
          <w:sz w:val="20"/>
          <w:szCs w:val="20"/>
          <w:u w:val="single"/>
          <w:lang w:val="en-US" w:eastAsia="zh-CN"/>
        </w:rPr>
        <w:t>采购人</w:t>
      </w:r>
      <w:r>
        <w:rPr>
          <w:rFonts w:hint="eastAsia" w:ascii="仿宋" w:hAnsi="仿宋" w:eastAsia="仿宋" w:cs="仿宋"/>
          <w:sz w:val="20"/>
          <w:szCs w:val="20"/>
          <w:u w:val="single"/>
        </w:rPr>
        <w:t>负责结算，乙方开具合同总价数的全额发票交</w:t>
      </w:r>
      <w:r>
        <w:rPr>
          <w:rFonts w:hint="eastAsia" w:ascii="仿宋" w:hAnsi="仿宋" w:eastAsia="仿宋" w:cs="仿宋"/>
          <w:sz w:val="20"/>
          <w:szCs w:val="20"/>
          <w:u w:val="single"/>
          <w:lang w:val="en-US" w:eastAsia="zh-CN"/>
        </w:rPr>
        <w:t>采购人</w:t>
      </w:r>
      <w:r>
        <w:rPr>
          <w:rFonts w:hint="eastAsia" w:ascii="仿宋" w:hAnsi="仿宋" w:eastAsia="仿宋" w:cs="仿宋"/>
          <w:sz w:val="20"/>
          <w:szCs w:val="20"/>
          <w:u w:val="single"/>
        </w:rPr>
        <w:t>。</w:t>
      </w:r>
    </w:p>
    <w:p w14:paraId="341F83E7">
      <w:pPr>
        <w:pStyle w:val="4"/>
        <w:spacing w:line="360" w:lineRule="auto"/>
        <w:ind w:firstLine="402" w:firstLineChars="200"/>
        <w:rPr>
          <w:rFonts w:hint="eastAsia" w:ascii="仿宋" w:hAnsi="仿宋" w:eastAsia="仿宋" w:cs="仿宋"/>
          <w:b/>
          <w:color w:val="auto"/>
          <w:sz w:val="20"/>
          <w:szCs w:val="20"/>
          <w:lang w:val="zh-CN"/>
        </w:rPr>
      </w:pPr>
      <w:bookmarkStart w:id="9" w:name="_Toc12627523"/>
      <w:bookmarkStart w:id="10" w:name="_Toc79485655"/>
      <w:bookmarkStart w:id="11" w:name="_Toc55566009"/>
      <w:r>
        <w:rPr>
          <w:rFonts w:hint="eastAsia" w:ascii="仿宋" w:hAnsi="仿宋" w:eastAsia="仿宋" w:cs="仿宋"/>
          <w:b/>
          <w:color w:val="auto"/>
          <w:sz w:val="20"/>
          <w:szCs w:val="20"/>
          <w:lang w:val="zh-CN"/>
        </w:rPr>
        <w:t>四、履行期限、地点及方式:</w:t>
      </w:r>
      <w:bookmarkEnd w:id="9"/>
      <w:bookmarkEnd w:id="10"/>
      <w:bookmarkEnd w:id="11"/>
    </w:p>
    <w:p w14:paraId="36CC288E">
      <w:pPr>
        <w:spacing w:line="360" w:lineRule="auto"/>
        <w:ind w:firstLine="400" w:firstLineChars="200"/>
        <w:rPr>
          <w:rFonts w:hint="eastAsia" w:ascii="仿宋" w:hAnsi="仿宋" w:eastAsia="仿宋" w:cs="仿宋"/>
          <w:sz w:val="20"/>
          <w:szCs w:val="20"/>
          <w:lang w:eastAsia="zh-CN"/>
        </w:rPr>
      </w:pPr>
      <w:r>
        <w:rPr>
          <w:rFonts w:hint="eastAsia" w:ascii="仿宋" w:hAnsi="仿宋" w:eastAsia="仿宋" w:cs="仿宋"/>
          <w:sz w:val="20"/>
          <w:szCs w:val="20"/>
        </w:rPr>
        <w:t>1、合同履行期限：</w:t>
      </w:r>
      <w:r>
        <w:rPr>
          <w:rFonts w:hint="eastAsia" w:ascii="仿宋" w:hAnsi="仿宋" w:eastAsia="仿宋" w:cs="仿宋"/>
          <w:sz w:val="20"/>
          <w:szCs w:val="20"/>
          <w:u w:val="single"/>
        </w:rPr>
        <w:t>自合同签订之日起一年</w:t>
      </w:r>
      <w:r>
        <w:rPr>
          <w:rFonts w:hint="eastAsia" w:ascii="仿宋" w:hAnsi="仿宋" w:eastAsia="仿宋" w:cs="仿宋"/>
          <w:sz w:val="20"/>
          <w:szCs w:val="20"/>
          <w:u w:val="single"/>
          <w:lang w:eastAsia="zh-CN"/>
        </w:rPr>
        <w:t>。</w:t>
      </w:r>
    </w:p>
    <w:p w14:paraId="424398F2">
      <w:pPr>
        <w:spacing w:line="360" w:lineRule="auto"/>
        <w:ind w:firstLine="400" w:firstLineChars="200"/>
        <w:rPr>
          <w:rFonts w:hint="eastAsia" w:ascii="仿宋" w:hAnsi="仿宋" w:eastAsia="仿宋" w:cs="仿宋"/>
          <w:sz w:val="20"/>
          <w:szCs w:val="20"/>
          <w:lang w:eastAsia="zh-CN"/>
        </w:rPr>
      </w:pPr>
      <w:r>
        <w:rPr>
          <w:rFonts w:hint="eastAsia" w:ascii="仿宋" w:hAnsi="仿宋" w:eastAsia="仿宋" w:cs="仿宋"/>
          <w:sz w:val="20"/>
          <w:szCs w:val="20"/>
        </w:rPr>
        <w:t>2、地点：</w:t>
      </w:r>
      <w:r>
        <w:rPr>
          <w:rFonts w:hint="eastAsia" w:ascii="仿宋" w:hAnsi="仿宋" w:eastAsia="仿宋" w:cs="仿宋"/>
          <w:sz w:val="20"/>
          <w:szCs w:val="20"/>
          <w:u w:val="single"/>
          <w:lang w:val="en-US" w:eastAsia="zh-CN"/>
        </w:rPr>
        <w:t>采购人</w:t>
      </w:r>
      <w:r>
        <w:rPr>
          <w:rFonts w:hint="eastAsia" w:ascii="仿宋" w:hAnsi="仿宋" w:eastAsia="仿宋" w:cs="仿宋"/>
          <w:sz w:val="20"/>
          <w:szCs w:val="20"/>
          <w:u w:val="single"/>
        </w:rPr>
        <w:t>指定地点</w:t>
      </w:r>
      <w:r>
        <w:rPr>
          <w:rFonts w:hint="eastAsia" w:ascii="仿宋" w:hAnsi="仿宋" w:eastAsia="仿宋" w:cs="仿宋"/>
          <w:sz w:val="20"/>
          <w:szCs w:val="20"/>
          <w:u w:val="single"/>
          <w:lang w:eastAsia="zh-CN"/>
        </w:rPr>
        <w:t>。</w:t>
      </w:r>
    </w:p>
    <w:p w14:paraId="09FE99E9">
      <w:pPr>
        <w:spacing w:line="360" w:lineRule="auto"/>
        <w:ind w:firstLine="400" w:firstLineChars="200"/>
        <w:rPr>
          <w:rFonts w:hint="eastAsia" w:ascii="仿宋" w:hAnsi="仿宋" w:eastAsia="仿宋" w:cs="仿宋"/>
          <w:sz w:val="20"/>
          <w:szCs w:val="20"/>
          <w:lang w:eastAsia="zh-CN"/>
        </w:rPr>
      </w:pPr>
      <w:r>
        <w:rPr>
          <w:rFonts w:hint="eastAsia" w:ascii="仿宋" w:hAnsi="仿宋" w:eastAsia="仿宋" w:cs="仿宋"/>
          <w:sz w:val="20"/>
          <w:szCs w:val="20"/>
        </w:rPr>
        <w:t>3、方式：</w:t>
      </w:r>
      <w:r>
        <w:rPr>
          <w:rFonts w:hint="eastAsia" w:ascii="仿宋" w:hAnsi="仿宋" w:eastAsia="仿宋" w:cs="仿宋"/>
          <w:sz w:val="20"/>
          <w:szCs w:val="20"/>
          <w:u w:val="single"/>
        </w:rPr>
        <w:t>按照</w:t>
      </w:r>
      <w:r>
        <w:rPr>
          <w:rFonts w:hint="eastAsia" w:ascii="仿宋" w:hAnsi="仿宋" w:eastAsia="仿宋" w:cs="仿宋"/>
          <w:sz w:val="20"/>
          <w:szCs w:val="20"/>
          <w:u w:val="single"/>
          <w:lang w:val="en-US" w:eastAsia="zh-CN"/>
        </w:rPr>
        <w:t>采购人</w:t>
      </w:r>
      <w:r>
        <w:rPr>
          <w:rFonts w:hint="eastAsia" w:ascii="仿宋" w:hAnsi="仿宋" w:eastAsia="仿宋" w:cs="仿宋"/>
          <w:sz w:val="20"/>
          <w:szCs w:val="20"/>
          <w:u w:val="single"/>
        </w:rPr>
        <w:t>要求</w:t>
      </w:r>
      <w:r>
        <w:rPr>
          <w:rFonts w:hint="eastAsia" w:ascii="仿宋" w:hAnsi="仿宋" w:eastAsia="仿宋" w:cs="仿宋"/>
          <w:sz w:val="20"/>
          <w:szCs w:val="20"/>
          <w:u w:val="single"/>
          <w:lang w:eastAsia="zh-CN"/>
        </w:rPr>
        <w:t>。</w:t>
      </w:r>
    </w:p>
    <w:p w14:paraId="14214A43">
      <w:pPr>
        <w:pStyle w:val="4"/>
        <w:spacing w:line="360" w:lineRule="auto"/>
        <w:ind w:firstLine="402" w:firstLineChars="200"/>
        <w:rPr>
          <w:rFonts w:hint="eastAsia" w:ascii="仿宋" w:hAnsi="仿宋" w:eastAsia="仿宋" w:cs="仿宋"/>
          <w:b/>
          <w:color w:val="auto"/>
          <w:sz w:val="20"/>
          <w:szCs w:val="20"/>
        </w:rPr>
      </w:pPr>
      <w:bookmarkStart w:id="12" w:name="_Toc12627524"/>
      <w:bookmarkStart w:id="13" w:name="_Toc55566010"/>
      <w:bookmarkStart w:id="14" w:name="_Toc79485656"/>
      <w:r>
        <w:rPr>
          <w:rFonts w:hint="eastAsia" w:ascii="仿宋" w:hAnsi="仿宋" w:eastAsia="仿宋" w:cs="仿宋"/>
          <w:b/>
          <w:color w:val="auto"/>
          <w:sz w:val="20"/>
          <w:szCs w:val="20"/>
          <w:lang w:val="zh-CN"/>
        </w:rPr>
        <w:t>五、</w:t>
      </w:r>
      <w:bookmarkEnd w:id="12"/>
      <w:bookmarkEnd w:id="13"/>
      <w:bookmarkEnd w:id="14"/>
      <w:r>
        <w:rPr>
          <w:rFonts w:hint="eastAsia" w:ascii="仿宋" w:hAnsi="仿宋" w:eastAsia="仿宋" w:cs="仿宋"/>
          <w:b/>
          <w:color w:val="auto"/>
          <w:sz w:val="20"/>
          <w:szCs w:val="20"/>
        </w:rPr>
        <w:t>质量保证</w:t>
      </w:r>
    </w:p>
    <w:p w14:paraId="65A86FCA">
      <w:pPr>
        <w:spacing w:line="360" w:lineRule="auto"/>
        <w:ind w:firstLine="400" w:firstLineChars="200"/>
        <w:rPr>
          <w:rFonts w:hint="eastAsia" w:ascii="仿宋" w:hAnsi="仿宋" w:eastAsia="仿宋" w:cs="仿宋"/>
          <w:snapToGrid w:val="0"/>
          <w:kern w:val="0"/>
          <w:sz w:val="20"/>
          <w:szCs w:val="20"/>
          <w:highlight w:val="yellow"/>
          <w:lang w:val="zh-CN"/>
        </w:rPr>
      </w:pPr>
      <w:bookmarkStart w:id="15" w:name="_Toc55566011"/>
      <w:bookmarkStart w:id="16" w:name="_Toc79485657"/>
      <w:r>
        <w:rPr>
          <w:rFonts w:hint="eastAsia" w:ascii="仿宋" w:hAnsi="仿宋" w:eastAsia="仿宋" w:cs="仿宋"/>
          <w:snapToGrid w:val="0"/>
          <w:kern w:val="0"/>
          <w:sz w:val="20"/>
          <w:szCs w:val="20"/>
        </w:rPr>
        <w:t>满足国家相关标准、规范</w:t>
      </w:r>
      <w:r>
        <w:rPr>
          <w:rFonts w:hint="eastAsia" w:ascii="仿宋" w:hAnsi="仿宋" w:eastAsia="仿宋" w:cs="仿宋"/>
          <w:snapToGrid w:val="0"/>
          <w:kern w:val="0"/>
          <w:sz w:val="20"/>
          <w:szCs w:val="20"/>
          <w:lang w:val="zh-CN"/>
        </w:rPr>
        <w:t>。</w:t>
      </w:r>
    </w:p>
    <w:bookmarkEnd w:id="15"/>
    <w:bookmarkEnd w:id="16"/>
    <w:p w14:paraId="423182B1">
      <w:pPr>
        <w:pStyle w:val="4"/>
        <w:spacing w:line="360" w:lineRule="auto"/>
        <w:ind w:firstLine="402" w:firstLineChars="200"/>
        <w:rPr>
          <w:rFonts w:hint="eastAsia" w:ascii="仿宋" w:hAnsi="仿宋" w:eastAsia="仿宋" w:cs="仿宋"/>
          <w:b/>
          <w:color w:val="auto"/>
          <w:sz w:val="20"/>
          <w:szCs w:val="20"/>
          <w:lang w:val="zh-CN"/>
        </w:rPr>
      </w:pPr>
      <w:r>
        <w:rPr>
          <w:rFonts w:hint="eastAsia" w:ascii="仿宋" w:hAnsi="仿宋" w:eastAsia="仿宋" w:cs="仿宋"/>
          <w:b/>
          <w:color w:val="auto"/>
          <w:sz w:val="20"/>
          <w:szCs w:val="20"/>
          <w:lang w:val="zh-CN"/>
        </w:rPr>
        <w:t>六、甲方权利和义务</w:t>
      </w:r>
    </w:p>
    <w:p w14:paraId="1A8094B8">
      <w:pPr>
        <w:adjustRightInd w:val="0"/>
        <w:snapToGrid w:val="0"/>
        <w:spacing w:line="360" w:lineRule="auto"/>
        <w:ind w:firstLine="400" w:firstLineChars="200"/>
        <w:rPr>
          <w:rFonts w:hint="eastAsia" w:ascii="仿宋" w:hAnsi="仿宋" w:eastAsia="仿宋" w:cs="仿宋"/>
          <w:sz w:val="20"/>
          <w:szCs w:val="20"/>
        </w:rPr>
      </w:pPr>
      <w:bookmarkStart w:id="17" w:name="_Toc79485660"/>
      <w:bookmarkStart w:id="18" w:name="_Toc12627526"/>
      <w:bookmarkStart w:id="19" w:name="_Toc55566014"/>
      <w:r>
        <w:rPr>
          <w:rFonts w:hint="eastAsia" w:ascii="仿宋" w:hAnsi="仿宋" w:eastAsia="仿宋" w:cs="仿宋"/>
          <w:sz w:val="20"/>
          <w:szCs w:val="20"/>
        </w:rPr>
        <w:t>1、甲方依据服务合同对乙方的工作进行督促和检查。</w:t>
      </w:r>
    </w:p>
    <w:p w14:paraId="4AF29593">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2、甲方若认为乙方履行合同不力严重影响项目服务质量，甲方有权要求更换乙方主要人员，直至终止合同。</w:t>
      </w:r>
    </w:p>
    <w:p w14:paraId="115C537C">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3、甲方支持乙方的工作，按合同保证乙方责任和权力的统一。</w:t>
      </w:r>
    </w:p>
    <w:p w14:paraId="6CF72FE1">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4、甲方应向乙方提供本合同规定的服务工作所需的合同文本、资料和数据等。同时应在特殊条款中明确提供的方式、份数与回收、保密等办法。</w:t>
      </w:r>
    </w:p>
    <w:p w14:paraId="4CE6E188">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5、甲方应负责协调项目外部条件及与地方的关系。</w:t>
      </w:r>
    </w:p>
    <w:p w14:paraId="22EC8AF7">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6、甲方应在特殊条款中双方订明的期限内，对由乙方提交甲方决策的报告、文件等作出决定。</w:t>
      </w:r>
    </w:p>
    <w:p w14:paraId="3BF46398">
      <w:pPr>
        <w:pStyle w:val="4"/>
        <w:spacing w:line="360" w:lineRule="auto"/>
        <w:ind w:firstLine="402" w:firstLineChars="200"/>
        <w:rPr>
          <w:rFonts w:hint="eastAsia" w:ascii="仿宋" w:hAnsi="仿宋" w:eastAsia="仿宋" w:cs="仿宋"/>
          <w:b/>
          <w:color w:val="auto"/>
          <w:sz w:val="20"/>
          <w:szCs w:val="20"/>
          <w:lang w:val="zh-CN"/>
        </w:rPr>
      </w:pPr>
      <w:r>
        <w:rPr>
          <w:rFonts w:hint="eastAsia" w:ascii="仿宋" w:hAnsi="仿宋" w:eastAsia="仿宋" w:cs="仿宋"/>
          <w:b/>
          <w:color w:val="auto"/>
          <w:sz w:val="20"/>
          <w:szCs w:val="20"/>
        </w:rPr>
        <w:t>七</w:t>
      </w:r>
      <w:r>
        <w:rPr>
          <w:rFonts w:hint="eastAsia" w:ascii="仿宋" w:hAnsi="仿宋" w:eastAsia="仿宋" w:cs="仿宋"/>
          <w:b/>
          <w:color w:val="auto"/>
          <w:sz w:val="20"/>
          <w:szCs w:val="20"/>
          <w:lang w:val="zh-CN"/>
        </w:rPr>
        <w:t>、乙方权利和义务</w:t>
      </w:r>
    </w:p>
    <w:p w14:paraId="1E5672A1">
      <w:pPr>
        <w:pStyle w:val="4"/>
        <w:spacing w:line="360" w:lineRule="auto"/>
        <w:ind w:left="-181" w:leftChars="-86" w:firstLine="400" w:firstLineChars="200"/>
        <w:rPr>
          <w:rFonts w:hint="eastAsia" w:ascii="仿宋" w:hAnsi="仿宋" w:eastAsia="仿宋" w:cs="仿宋"/>
          <w:color w:val="auto"/>
          <w:sz w:val="20"/>
          <w:szCs w:val="20"/>
        </w:rPr>
      </w:pPr>
      <w:r>
        <w:rPr>
          <w:rFonts w:hint="eastAsia" w:ascii="仿宋" w:hAnsi="仿宋" w:eastAsia="仿宋" w:cs="仿宋"/>
          <w:color w:val="auto"/>
          <w:sz w:val="20"/>
          <w:szCs w:val="20"/>
        </w:rPr>
        <w:t>1、乙方拥有合同中规定的权力，并承担相应全部责任。</w:t>
      </w:r>
    </w:p>
    <w:p w14:paraId="206CC75A">
      <w:pPr>
        <w:pStyle w:val="4"/>
        <w:spacing w:line="360" w:lineRule="auto"/>
        <w:ind w:left="-181" w:leftChars="-86" w:firstLine="400" w:firstLineChars="200"/>
        <w:rPr>
          <w:rFonts w:hint="eastAsia" w:ascii="仿宋" w:hAnsi="仿宋" w:eastAsia="仿宋" w:cs="仿宋"/>
          <w:color w:val="auto"/>
          <w:sz w:val="20"/>
          <w:szCs w:val="20"/>
        </w:rPr>
      </w:pPr>
      <w:r>
        <w:rPr>
          <w:rFonts w:hint="eastAsia" w:ascii="仿宋" w:hAnsi="仿宋" w:eastAsia="仿宋" w:cs="仿宋"/>
          <w:color w:val="auto"/>
          <w:sz w:val="20"/>
          <w:szCs w:val="20"/>
        </w:rPr>
        <w:t>2、乙方必须具有履行本合同书所需的技能，必须按照相关的职业准则完成其全部职责。</w:t>
      </w:r>
    </w:p>
    <w:p w14:paraId="2C4E7074">
      <w:pPr>
        <w:pStyle w:val="4"/>
        <w:spacing w:line="360" w:lineRule="auto"/>
        <w:ind w:left="-181" w:leftChars="-86" w:firstLine="400" w:firstLineChars="200"/>
        <w:rPr>
          <w:rFonts w:hint="eastAsia" w:ascii="仿宋" w:hAnsi="仿宋" w:eastAsia="仿宋" w:cs="仿宋"/>
          <w:color w:val="auto"/>
          <w:sz w:val="20"/>
          <w:szCs w:val="20"/>
        </w:rPr>
      </w:pPr>
      <w:r>
        <w:rPr>
          <w:rFonts w:hint="eastAsia" w:ascii="仿宋" w:hAnsi="仿宋" w:eastAsia="仿宋" w:cs="仿宋"/>
          <w:color w:val="auto"/>
          <w:sz w:val="20"/>
          <w:szCs w:val="20"/>
        </w:rPr>
        <w:t>3、乙方须在收到甲方委托后</w:t>
      </w:r>
      <w:r>
        <w:rPr>
          <w:rFonts w:hint="eastAsia" w:ascii="仿宋" w:hAnsi="仿宋" w:eastAsia="仿宋" w:cs="仿宋"/>
          <w:color w:val="auto"/>
          <w:sz w:val="20"/>
          <w:szCs w:val="20"/>
          <w:u w:val="single"/>
        </w:rPr>
        <w:t xml:space="preserve">  </w:t>
      </w:r>
      <w:r>
        <w:rPr>
          <w:rFonts w:hint="eastAsia" w:ascii="仿宋" w:hAnsi="仿宋" w:eastAsia="仿宋" w:cs="仿宋"/>
          <w:color w:val="auto"/>
          <w:sz w:val="20"/>
          <w:szCs w:val="20"/>
          <w:u w:val="single"/>
          <w:lang w:val="en-US" w:eastAsia="zh-CN"/>
        </w:rPr>
        <w:t xml:space="preserve"> </w:t>
      </w:r>
      <w:r>
        <w:rPr>
          <w:rFonts w:hint="eastAsia" w:ascii="仿宋" w:hAnsi="仿宋" w:eastAsia="仿宋" w:cs="仿宋"/>
          <w:color w:val="auto"/>
          <w:sz w:val="20"/>
          <w:szCs w:val="20"/>
        </w:rPr>
        <w:t>日历日内完成评估工作并出具正式报告。</w:t>
      </w:r>
    </w:p>
    <w:p w14:paraId="71CC9E2B">
      <w:pPr>
        <w:pStyle w:val="4"/>
        <w:spacing w:line="360" w:lineRule="auto"/>
        <w:ind w:left="-181" w:leftChars="-86" w:firstLine="400" w:firstLineChars="200"/>
        <w:rPr>
          <w:rFonts w:hint="eastAsia" w:ascii="仿宋" w:hAnsi="仿宋" w:eastAsia="仿宋" w:cs="仿宋"/>
          <w:color w:val="auto"/>
          <w:sz w:val="20"/>
          <w:szCs w:val="20"/>
        </w:rPr>
      </w:pPr>
      <w:r>
        <w:rPr>
          <w:rFonts w:hint="eastAsia" w:ascii="仿宋" w:hAnsi="仿宋" w:eastAsia="仿宋" w:cs="仿宋"/>
          <w:color w:val="auto"/>
          <w:sz w:val="20"/>
          <w:szCs w:val="20"/>
        </w:rPr>
        <w:t>4、在服务过程中乙方如需另聘专家咨询或协助，在服务责任以内发生的费用，由乙方承担；超出服务责任并发生费用，应征得甲方书面同意后，由甲方承担费用。</w:t>
      </w:r>
    </w:p>
    <w:p w14:paraId="0197532D">
      <w:pPr>
        <w:pStyle w:val="4"/>
        <w:spacing w:line="360" w:lineRule="auto"/>
        <w:ind w:left="-181" w:leftChars="-86" w:firstLine="400" w:firstLineChars="200"/>
        <w:rPr>
          <w:rFonts w:hint="eastAsia" w:ascii="仿宋" w:hAnsi="仿宋" w:eastAsia="仿宋" w:cs="仿宋"/>
          <w:color w:val="auto"/>
          <w:sz w:val="20"/>
          <w:szCs w:val="20"/>
        </w:rPr>
      </w:pPr>
      <w:r>
        <w:rPr>
          <w:rFonts w:hint="eastAsia" w:ascii="仿宋" w:hAnsi="仿宋" w:eastAsia="仿宋" w:cs="仿宋"/>
          <w:color w:val="auto"/>
          <w:sz w:val="20"/>
          <w:szCs w:val="20"/>
        </w:rPr>
        <w:t>5、乙方按招标文件中的要求自带规定的设备和设施。</w:t>
      </w:r>
    </w:p>
    <w:p w14:paraId="594006E6">
      <w:pPr>
        <w:pStyle w:val="4"/>
        <w:spacing w:line="360" w:lineRule="auto"/>
        <w:ind w:left="-181" w:leftChars="-86" w:firstLine="400" w:firstLineChars="200"/>
        <w:rPr>
          <w:rFonts w:hint="eastAsia" w:ascii="仿宋" w:hAnsi="仿宋" w:eastAsia="仿宋" w:cs="仿宋"/>
          <w:color w:val="auto"/>
          <w:sz w:val="20"/>
          <w:szCs w:val="20"/>
        </w:rPr>
      </w:pPr>
      <w:r>
        <w:rPr>
          <w:rFonts w:hint="eastAsia" w:ascii="仿宋" w:hAnsi="仿宋" w:eastAsia="仿宋" w:cs="仿宋"/>
          <w:color w:val="auto"/>
          <w:sz w:val="20"/>
          <w:szCs w:val="20"/>
        </w:rPr>
        <w:t>6、乙方必须按招标文件中规定派出服务工作需要的服务人员及项目服务机构。其主要人员资格和服务条件须经甲方审查同意，甲方不得无理由地拒绝。甲方同意乙方根据服务目标需要提出的项目组织机构，并确认项目负责人。</w:t>
      </w:r>
    </w:p>
    <w:p w14:paraId="563E39DD">
      <w:pPr>
        <w:pStyle w:val="4"/>
        <w:spacing w:line="360" w:lineRule="auto"/>
        <w:ind w:left="-181" w:leftChars="-86" w:firstLine="400" w:firstLineChars="200"/>
        <w:rPr>
          <w:rFonts w:hint="eastAsia" w:ascii="仿宋" w:hAnsi="仿宋" w:eastAsia="仿宋" w:cs="仿宋"/>
          <w:color w:val="auto"/>
          <w:sz w:val="20"/>
          <w:szCs w:val="20"/>
        </w:rPr>
      </w:pPr>
      <w:r>
        <w:rPr>
          <w:rFonts w:hint="eastAsia" w:ascii="仿宋" w:hAnsi="仿宋" w:eastAsia="仿宋" w:cs="仿宋"/>
          <w:color w:val="auto"/>
          <w:sz w:val="20"/>
          <w:szCs w:val="20"/>
        </w:rPr>
        <w:t>7、服务应按本合同规定的人员在各规定期限内进行。为保证项目的有效实施，项目负责人及其他服务人员必须与投标文件一致，一般不得调整，确需调整的，必须征得甲方同意。乙方派驻现场服务人员应连续稳定，保证服务工作正常进行。</w:t>
      </w:r>
    </w:p>
    <w:p w14:paraId="3FDB533D">
      <w:pPr>
        <w:pStyle w:val="4"/>
        <w:spacing w:line="360" w:lineRule="auto"/>
        <w:ind w:left="-181" w:leftChars="-86" w:firstLine="400" w:firstLineChars="200"/>
        <w:rPr>
          <w:rFonts w:hint="eastAsia" w:ascii="仿宋" w:hAnsi="仿宋" w:eastAsia="仿宋" w:cs="仿宋"/>
          <w:color w:val="auto"/>
          <w:sz w:val="20"/>
          <w:szCs w:val="20"/>
        </w:rPr>
      </w:pPr>
      <w:r>
        <w:rPr>
          <w:rFonts w:hint="eastAsia" w:ascii="仿宋" w:hAnsi="仿宋" w:eastAsia="仿宋" w:cs="仿宋"/>
          <w:color w:val="auto"/>
          <w:sz w:val="20"/>
          <w:szCs w:val="20"/>
        </w:rPr>
        <w:t>8、乙方向甲方收取的报酬，是其关于本合同书的唯一报酬。乙方及其人员不得接受与本合同书有关的或与其承担义务有关的其他津贴、回扣等报酬和非直接支付。</w:t>
      </w:r>
    </w:p>
    <w:p w14:paraId="71207F93">
      <w:pPr>
        <w:pStyle w:val="4"/>
        <w:spacing w:line="360" w:lineRule="auto"/>
        <w:ind w:left="-181" w:leftChars="-86" w:firstLine="400" w:firstLineChars="200"/>
        <w:rPr>
          <w:rFonts w:hint="eastAsia" w:ascii="仿宋" w:hAnsi="仿宋" w:eastAsia="仿宋" w:cs="仿宋"/>
          <w:color w:val="auto"/>
          <w:sz w:val="20"/>
          <w:szCs w:val="20"/>
        </w:rPr>
      </w:pPr>
      <w:r>
        <w:rPr>
          <w:rFonts w:hint="eastAsia" w:ascii="仿宋" w:hAnsi="仿宋" w:eastAsia="仿宋" w:cs="仿宋"/>
          <w:color w:val="auto"/>
          <w:sz w:val="20"/>
          <w:szCs w:val="20"/>
        </w:rPr>
        <w:t>9、乙方在服务的过程中，不得泄露甲方的秘密，乙方亦不得相关单位提供秘密。</w:t>
      </w:r>
    </w:p>
    <w:p w14:paraId="189AD559">
      <w:pPr>
        <w:pStyle w:val="4"/>
        <w:spacing w:line="360" w:lineRule="auto"/>
        <w:ind w:firstLine="402" w:firstLineChars="200"/>
        <w:rPr>
          <w:rFonts w:hint="eastAsia" w:ascii="仿宋" w:hAnsi="仿宋" w:eastAsia="仿宋" w:cs="仿宋"/>
          <w:b/>
          <w:color w:val="auto"/>
          <w:sz w:val="20"/>
          <w:szCs w:val="20"/>
        </w:rPr>
      </w:pPr>
      <w:r>
        <w:rPr>
          <w:rFonts w:hint="eastAsia" w:ascii="仿宋" w:hAnsi="仿宋" w:eastAsia="仿宋" w:cs="仿宋"/>
          <w:b/>
          <w:color w:val="auto"/>
          <w:sz w:val="20"/>
          <w:szCs w:val="20"/>
        </w:rPr>
        <w:t>八、提交成果内容</w:t>
      </w:r>
    </w:p>
    <w:p w14:paraId="2F1B300E">
      <w:pPr>
        <w:pStyle w:val="4"/>
        <w:spacing w:line="360" w:lineRule="auto"/>
        <w:ind w:left="-181" w:leftChars="-86" w:firstLine="400" w:firstLineChars="200"/>
        <w:rPr>
          <w:rFonts w:hint="eastAsia" w:ascii="仿宋" w:hAnsi="仿宋" w:eastAsia="仿宋" w:cs="仿宋"/>
          <w:color w:val="auto"/>
          <w:sz w:val="20"/>
          <w:szCs w:val="20"/>
        </w:rPr>
      </w:pPr>
      <w:r>
        <w:rPr>
          <w:rFonts w:hint="eastAsia" w:ascii="仿宋" w:hAnsi="仿宋" w:eastAsia="仿宋" w:cs="仿宋"/>
          <w:color w:val="auto"/>
          <w:sz w:val="20"/>
          <w:szCs w:val="20"/>
        </w:rPr>
        <w:t>根据招标人要求提交成果文件</w:t>
      </w:r>
      <w:r>
        <w:rPr>
          <w:rFonts w:hint="eastAsia" w:ascii="仿宋" w:hAnsi="仿宋" w:eastAsia="仿宋" w:cs="仿宋"/>
          <w:color w:val="auto"/>
          <w:sz w:val="20"/>
          <w:szCs w:val="20"/>
          <w:u w:val="single"/>
        </w:rPr>
        <w:t xml:space="preserve">   </w:t>
      </w:r>
      <w:r>
        <w:rPr>
          <w:rFonts w:hint="eastAsia" w:ascii="仿宋" w:hAnsi="仿宋" w:eastAsia="仿宋" w:cs="仿宋"/>
          <w:color w:val="auto"/>
          <w:sz w:val="20"/>
          <w:szCs w:val="20"/>
        </w:rPr>
        <w:t>份（文本及相关附表、附图）。</w:t>
      </w:r>
    </w:p>
    <w:p w14:paraId="767C8CEE">
      <w:pPr>
        <w:pStyle w:val="4"/>
        <w:spacing w:line="360" w:lineRule="auto"/>
        <w:ind w:firstLine="402" w:firstLineChars="200"/>
        <w:rPr>
          <w:rFonts w:hint="eastAsia" w:ascii="仿宋" w:hAnsi="仿宋" w:eastAsia="仿宋" w:cs="仿宋"/>
          <w:b/>
          <w:color w:val="auto"/>
          <w:sz w:val="20"/>
          <w:szCs w:val="20"/>
          <w:lang w:val="zh-CN"/>
        </w:rPr>
      </w:pPr>
      <w:r>
        <w:rPr>
          <w:rFonts w:hint="eastAsia" w:ascii="仿宋" w:hAnsi="仿宋" w:eastAsia="仿宋" w:cs="仿宋"/>
          <w:b/>
          <w:color w:val="auto"/>
          <w:sz w:val="20"/>
          <w:szCs w:val="20"/>
        </w:rPr>
        <w:t>九</w:t>
      </w:r>
      <w:r>
        <w:rPr>
          <w:rFonts w:hint="eastAsia" w:ascii="仿宋" w:hAnsi="仿宋" w:eastAsia="仿宋" w:cs="仿宋"/>
          <w:b/>
          <w:color w:val="auto"/>
          <w:sz w:val="20"/>
          <w:szCs w:val="20"/>
          <w:lang w:val="zh-CN"/>
        </w:rPr>
        <w:t>、违约责任</w:t>
      </w:r>
      <w:bookmarkEnd w:id="17"/>
      <w:bookmarkEnd w:id="18"/>
      <w:bookmarkEnd w:id="19"/>
    </w:p>
    <w:p w14:paraId="5DFFEA4F">
      <w:pPr>
        <w:adjustRightInd w:val="0"/>
        <w:snapToGrid w:val="0"/>
        <w:spacing w:line="360" w:lineRule="auto"/>
        <w:ind w:firstLine="400" w:firstLineChars="200"/>
        <w:rPr>
          <w:rFonts w:hint="eastAsia" w:ascii="仿宋" w:hAnsi="仿宋" w:eastAsia="仿宋" w:cs="仿宋"/>
          <w:sz w:val="20"/>
          <w:szCs w:val="20"/>
          <w:lang w:val="zh-CN"/>
        </w:rPr>
      </w:pPr>
      <w:r>
        <w:rPr>
          <w:rFonts w:hint="eastAsia" w:ascii="仿宋" w:hAnsi="仿宋" w:eastAsia="仿宋" w:cs="仿宋"/>
          <w:sz w:val="20"/>
          <w:szCs w:val="20"/>
          <w:lang w:val="zh-CN"/>
        </w:rPr>
        <w:t>1、违约责任按《中华人民共和国民法典》处理中的相关条款执行。</w:t>
      </w:r>
    </w:p>
    <w:p w14:paraId="7C61A587">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val="zh-CN"/>
        </w:rPr>
        <w:t>2、未按合同要求提供服务或服务质量不能满足本次采购要求，甲方会同监督机构、招标代理机构有权终止合同和对乙方违约行为进行追究，同时按政府采购法的有关规定进行相应的处罚</w:t>
      </w:r>
      <w:r>
        <w:rPr>
          <w:rFonts w:hint="eastAsia" w:ascii="仿宋" w:hAnsi="仿宋" w:eastAsia="仿宋" w:cs="仿宋"/>
          <w:sz w:val="20"/>
          <w:szCs w:val="20"/>
        </w:rPr>
        <w:t>。</w:t>
      </w:r>
    </w:p>
    <w:p w14:paraId="57618D5E">
      <w:pPr>
        <w:pStyle w:val="4"/>
        <w:spacing w:line="360" w:lineRule="auto"/>
        <w:ind w:firstLine="402" w:firstLineChars="200"/>
        <w:rPr>
          <w:rFonts w:hint="eastAsia" w:ascii="仿宋" w:hAnsi="仿宋" w:eastAsia="仿宋" w:cs="仿宋"/>
          <w:b/>
          <w:color w:val="auto"/>
          <w:sz w:val="20"/>
          <w:szCs w:val="20"/>
        </w:rPr>
      </w:pPr>
      <w:r>
        <w:rPr>
          <w:rFonts w:hint="eastAsia" w:ascii="仿宋" w:hAnsi="仿宋" w:eastAsia="仿宋" w:cs="仿宋"/>
          <w:b/>
          <w:color w:val="auto"/>
          <w:sz w:val="20"/>
          <w:szCs w:val="20"/>
          <w:lang w:val="zh-CN"/>
        </w:rPr>
        <w:t>十、</w:t>
      </w:r>
      <w:r>
        <w:rPr>
          <w:rFonts w:hint="eastAsia" w:ascii="仿宋" w:hAnsi="仿宋" w:eastAsia="仿宋" w:cs="仿宋"/>
          <w:b/>
          <w:color w:val="auto"/>
          <w:sz w:val="20"/>
          <w:szCs w:val="20"/>
        </w:rPr>
        <w:t>不可抗力事件处理</w:t>
      </w:r>
    </w:p>
    <w:p w14:paraId="503E927A">
      <w:pPr>
        <w:pStyle w:val="4"/>
        <w:spacing w:line="360" w:lineRule="auto"/>
        <w:ind w:left="-181" w:leftChars="-86" w:firstLine="400" w:firstLineChars="200"/>
        <w:rPr>
          <w:rFonts w:hint="eastAsia" w:ascii="仿宋" w:hAnsi="仿宋" w:eastAsia="仿宋" w:cs="仿宋"/>
          <w:color w:val="auto"/>
          <w:sz w:val="20"/>
          <w:szCs w:val="20"/>
          <w:lang w:val="zh-CN"/>
        </w:rPr>
      </w:pPr>
      <w:r>
        <w:rPr>
          <w:rFonts w:hint="eastAsia" w:ascii="仿宋" w:hAnsi="仿宋" w:eastAsia="仿宋" w:cs="仿宋"/>
          <w:color w:val="auto"/>
          <w:sz w:val="20"/>
          <w:szCs w:val="20"/>
          <w:lang w:val="zh-CN"/>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1DA96525">
      <w:pPr>
        <w:pStyle w:val="4"/>
        <w:spacing w:line="360" w:lineRule="auto"/>
        <w:ind w:left="-181" w:leftChars="-86" w:firstLine="400" w:firstLineChars="200"/>
        <w:rPr>
          <w:rFonts w:hint="eastAsia" w:ascii="仿宋" w:hAnsi="仿宋" w:eastAsia="仿宋" w:cs="仿宋"/>
          <w:color w:val="auto"/>
          <w:sz w:val="20"/>
          <w:szCs w:val="20"/>
          <w:lang w:val="zh-CN"/>
        </w:rPr>
      </w:pPr>
      <w:r>
        <w:rPr>
          <w:rFonts w:hint="eastAsia" w:ascii="仿宋" w:hAnsi="仿宋" w:eastAsia="仿宋" w:cs="仿宋"/>
          <w:color w:val="auto"/>
          <w:sz w:val="20"/>
          <w:szCs w:val="20"/>
          <w:lang w:val="zh-CN"/>
        </w:rPr>
        <w:t>2、本合同中的不可抗力指不能预见、不能避免并不能克服的客观情况。包括但不限于：自然灾害如地震、台风、洪水、火灾；政府行为、法律规定或其适用的变化或者其他任何无法预见、避免或者控制的事件。</w:t>
      </w:r>
    </w:p>
    <w:p w14:paraId="692F4802">
      <w:pPr>
        <w:pStyle w:val="4"/>
        <w:spacing w:line="360" w:lineRule="auto"/>
        <w:ind w:firstLine="402" w:firstLineChars="200"/>
        <w:rPr>
          <w:rFonts w:hint="eastAsia" w:ascii="仿宋" w:hAnsi="仿宋" w:eastAsia="仿宋" w:cs="仿宋"/>
          <w:b/>
          <w:color w:val="auto"/>
          <w:sz w:val="20"/>
          <w:szCs w:val="20"/>
          <w:lang w:val="zh-CN"/>
        </w:rPr>
      </w:pPr>
      <w:bookmarkStart w:id="20" w:name="_Toc79485661"/>
      <w:bookmarkStart w:id="21" w:name="_Toc12627527"/>
      <w:bookmarkStart w:id="22" w:name="_Toc55566015"/>
      <w:r>
        <w:rPr>
          <w:rFonts w:hint="eastAsia" w:ascii="仿宋" w:hAnsi="仿宋" w:eastAsia="仿宋" w:cs="仿宋"/>
          <w:b/>
          <w:color w:val="auto"/>
          <w:sz w:val="20"/>
          <w:szCs w:val="20"/>
          <w:lang w:val="zh-CN"/>
        </w:rPr>
        <w:t>十一、合同组成</w:t>
      </w:r>
      <w:bookmarkEnd w:id="20"/>
      <w:bookmarkEnd w:id="21"/>
      <w:bookmarkEnd w:id="22"/>
    </w:p>
    <w:p w14:paraId="1AD74D27">
      <w:pPr>
        <w:adjustRightInd w:val="0"/>
        <w:snapToGrid w:val="0"/>
        <w:spacing w:line="360" w:lineRule="auto"/>
        <w:ind w:firstLine="400" w:firstLineChars="200"/>
        <w:rPr>
          <w:rFonts w:hint="eastAsia" w:ascii="仿宋" w:hAnsi="仿宋" w:eastAsia="仿宋" w:cs="仿宋"/>
          <w:sz w:val="20"/>
          <w:szCs w:val="20"/>
          <w:lang w:eastAsia="zh-CN"/>
        </w:rPr>
      </w:pPr>
      <w:r>
        <w:rPr>
          <w:rFonts w:hint="eastAsia" w:ascii="仿宋" w:hAnsi="仿宋" w:eastAsia="仿宋" w:cs="仿宋"/>
          <w:sz w:val="20"/>
          <w:szCs w:val="20"/>
        </w:rPr>
        <w:t>1、</w:t>
      </w:r>
      <w:r>
        <w:rPr>
          <w:rFonts w:hint="eastAsia" w:ascii="仿宋" w:hAnsi="仿宋" w:eastAsia="仿宋" w:cs="仿宋"/>
          <w:sz w:val="20"/>
          <w:szCs w:val="20"/>
          <w:lang w:val="en-US" w:eastAsia="zh-CN"/>
        </w:rPr>
        <w:t>中标（成交）</w:t>
      </w:r>
      <w:r>
        <w:rPr>
          <w:rFonts w:hint="eastAsia" w:ascii="仿宋" w:hAnsi="仿宋" w:eastAsia="仿宋" w:cs="仿宋"/>
          <w:sz w:val="20"/>
          <w:szCs w:val="20"/>
        </w:rPr>
        <w:t>通知书</w:t>
      </w:r>
      <w:r>
        <w:rPr>
          <w:rFonts w:hint="eastAsia" w:ascii="仿宋" w:hAnsi="仿宋" w:eastAsia="仿宋" w:cs="仿宋"/>
          <w:sz w:val="20"/>
          <w:szCs w:val="20"/>
          <w:lang w:eastAsia="zh-CN"/>
        </w:rPr>
        <w:t>；</w:t>
      </w:r>
    </w:p>
    <w:p w14:paraId="439CB5DD">
      <w:pPr>
        <w:adjustRightInd w:val="0"/>
        <w:snapToGrid w:val="0"/>
        <w:spacing w:line="360" w:lineRule="auto"/>
        <w:ind w:firstLine="400" w:firstLineChars="200"/>
        <w:rPr>
          <w:rFonts w:hint="eastAsia" w:ascii="仿宋" w:hAnsi="仿宋" w:eastAsia="仿宋" w:cs="仿宋"/>
          <w:sz w:val="20"/>
          <w:szCs w:val="20"/>
          <w:lang w:eastAsia="zh-CN"/>
        </w:rPr>
      </w:pPr>
      <w:r>
        <w:rPr>
          <w:rFonts w:hint="eastAsia" w:ascii="仿宋" w:hAnsi="仿宋" w:eastAsia="仿宋" w:cs="仿宋"/>
          <w:sz w:val="20"/>
          <w:szCs w:val="20"/>
        </w:rPr>
        <w:t>2、合同文件</w:t>
      </w:r>
      <w:r>
        <w:rPr>
          <w:rFonts w:hint="eastAsia" w:ascii="仿宋" w:hAnsi="仿宋" w:eastAsia="仿宋" w:cs="仿宋"/>
          <w:sz w:val="20"/>
          <w:szCs w:val="20"/>
          <w:lang w:eastAsia="zh-CN"/>
        </w:rPr>
        <w:t>；</w:t>
      </w:r>
    </w:p>
    <w:p w14:paraId="57E56134">
      <w:pPr>
        <w:adjustRightInd w:val="0"/>
        <w:snapToGrid w:val="0"/>
        <w:spacing w:line="360" w:lineRule="auto"/>
        <w:ind w:firstLine="400" w:firstLineChars="200"/>
        <w:rPr>
          <w:rFonts w:hint="eastAsia" w:ascii="仿宋" w:hAnsi="仿宋" w:eastAsia="仿宋" w:cs="仿宋"/>
          <w:sz w:val="20"/>
          <w:szCs w:val="20"/>
          <w:lang w:eastAsia="zh-CN"/>
        </w:rPr>
      </w:pPr>
      <w:r>
        <w:rPr>
          <w:rFonts w:hint="eastAsia" w:ascii="仿宋" w:hAnsi="仿宋" w:eastAsia="仿宋" w:cs="仿宋"/>
          <w:sz w:val="20"/>
          <w:szCs w:val="20"/>
        </w:rPr>
        <w:t>3、国家相关规范及标准</w:t>
      </w:r>
      <w:r>
        <w:rPr>
          <w:rFonts w:hint="eastAsia" w:ascii="仿宋" w:hAnsi="仿宋" w:eastAsia="仿宋" w:cs="仿宋"/>
          <w:sz w:val="20"/>
          <w:szCs w:val="20"/>
          <w:lang w:eastAsia="zh-CN"/>
        </w:rPr>
        <w:t>；</w:t>
      </w:r>
    </w:p>
    <w:p w14:paraId="101F1C9E">
      <w:pPr>
        <w:adjustRightInd w:val="0"/>
        <w:snapToGrid w:val="0"/>
        <w:spacing w:line="360" w:lineRule="auto"/>
        <w:ind w:firstLine="400" w:firstLineChars="200"/>
        <w:rPr>
          <w:rFonts w:hint="eastAsia" w:ascii="仿宋" w:hAnsi="仿宋" w:eastAsia="仿宋" w:cs="仿宋"/>
          <w:sz w:val="20"/>
          <w:szCs w:val="20"/>
          <w:lang w:eastAsia="zh-CN"/>
        </w:rPr>
      </w:pPr>
      <w:r>
        <w:rPr>
          <w:rFonts w:hint="eastAsia" w:ascii="仿宋" w:hAnsi="仿宋" w:eastAsia="仿宋" w:cs="仿宋"/>
          <w:sz w:val="20"/>
          <w:szCs w:val="20"/>
        </w:rPr>
        <w:t>4、</w:t>
      </w:r>
      <w:r>
        <w:rPr>
          <w:rFonts w:hint="eastAsia" w:ascii="仿宋" w:hAnsi="仿宋" w:eastAsia="仿宋" w:cs="仿宋"/>
          <w:sz w:val="20"/>
          <w:szCs w:val="20"/>
          <w:lang w:val="en-US" w:eastAsia="zh-CN"/>
        </w:rPr>
        <w:t>竞争性磋商</w:t>
      </w:r>
      <w:r>
        <w:rPr>
          <w:rFonts w:hint="eastAsia" w:ascii="仿宋" w:hAnsi="仿宋" w:eastAsia="仿宋" w:cs="仿宋"/>
          <w:sz w:val="20"/>
          <w:szCs w:val="20"/>
        </w:rPr>
        <w:t>文件</w:t>
      </w:r>
      <w:r>
        <w:rPr>
          <w:rFonts w:hint="eastAsia" w:ascii="仿宋" w:hAnsi="仿宋" w:eastAsia="仿宋" w:cs="仿宋"/>
          <w:sz w:val="20"/>
          <w:szCs w:val="20"/>
          <w:lang w:eastAsia="zh-CN"/>
        </w:rPr>
        <w:t>；</w:t>
      </w:r>
    </w:p>
    <w:p w14:paraId="78A78A30">
      <w:pPr>
        <w:adjustRightInd w:val="0"/>
        <w:snapToGrid w:val="0"/>
        <w:spacing w:line="360" w:lineRule="auto"/>
        <w:ind w:firstLine="400" w:firstLineChars="200"/>
        <w:rPr>
          <w:rFonts w:hint="eastAsia" w:ascii="仿宋" w:hAnsi="仿宋" w:eastAsia="仿宋" w:cs="仿宋"/>
          <w:sz w:val="20"/>
          <w:szCs w:val="20"/>
          <w:lang w:eastAsia="zh-CN"/>
        </w:rPr>
      </w:pPr>
      <w:r>
        <w:rPr>
          <w:rFonts w:hint="eastAsia" w:ascii="仿宋" w:hAnsi="仿宋" w:eastAsia="仿宋" w:cs="仿宋"/>
          <w:sz w:val="20"/>
          <w:szCs w:val="20"/>
        </w:rPr>
        <w:t>5、</w:t>
      </w:r>
      <w:r>
        <w:rPr>
          <w:rFonts w:hint="eastAsia" w:ascii="仿宋" w:hAnsi="仿宋" w:eastAsia="仿宋" w:cs="仿宋"/>
          <w:sz w:val="20"/>
          <w:szCs w:val="20"/>
          <w:lang w:val="en-US" w:eastAsia="zh-CN"/>
        </w:rPr>
        <w:t>竞争性磋商响应</w:t>
      </w:r>
      <w:r>
        <w:rPr>
          <w:rFonts w:hint="eastAsia" w:ascii="仿宋" w:hAnsi="仿宋" w:eastAsia="仿宋" w:cs="仿宋"/>
          <w:sz w:val="20"/>
          <w:szCs w:val="20"/>
        </w:rPr>
        <w:t>文件</w:t>
      </w:r>
      <w:r>
        <w:rPr>
          <w:rFonts w:hint="eastAsia" w:ascii="仿宋" w:hAnsi="仿宋" w:eastAsia="仿宋" w:cs="仿宋"/>
          <w:sz w:val="20"/>
          <w:szCs w:val="20"/>
          <w:lang w:eastAsia="zh-CN"/>
        </w:rPr>
        <w:t>。</w:t>
      </w:r>
    </w:p>
    <w:p w14:paraId="075E5FE8">
      <w:pPr>
        <w:pStyle w:val="4"/>
        <w:spacing w:line="360" w:lineRule="auto"/>
        <w:ind w:firstLine="402" w:firstLineChars="200"/>
        <w:rPr>
          <w:rFonts w:hint="eastAsia" w:ascii="仿宋" w:hAnsi="仿宋" w:eastAsia="仿宋" w:cs="仿宋"/>
          <w:b/>
          <w:color w:val="auto"/>
          <w:sz w:val="20"/>
          <w:szCs w:val="20"/>
          <w:lang w:val="zh-CN"/>
        </w:rPr>
      </w:pPr>
      <w:bookmarkStart w:id="23" w:name="_Toc55566016"/>
      <w:bookmarkStart w:id="24" w:name="_Toc79485662"/>
      <w:bookmarkStart w:id="25" w:name="_Toc12627528"/>
      <w:r>
        <w:rPr>
          <w:rFonts w:hint="eastAsia" w:ascii="仿宋" w:hAnsi="仿宋" w:eastAsia="仿宋" w:cs="仿宋"/>
          <w:b/>
          <w:color w:val="auto"/>
          <w:sz w:val="20"/>
          <w:szCs w:val="20"/>
          <w:lang w:val="zh-CN"/>
        </w:rPr>
        <w:t>十二、解决争议的方法</w:t>
      </w:r>
      <w:bookmarkEnd w:id="23"/>
      <w:bookmarkEnd w:id="24"/>
      <w:bookmarkEnd w:id="25"/>
    </w:p>
    <w:p w14:paraId="15CEC49C">
      <w:pPr>
        <w:widowControl/>
        <w:autoSpaceDE w:val="0"/>
        <w:autoSpaceDN w:val="0"/>
        <w:snapToGrid w:val="0"/>
        <w:spacing w:line="360" w:lineRule="auto"/>
        <w:ind w:right="-110"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凡因本合同引起的或与本合同有关的争议，双方应友好协商解决。协商不成时，双方均同意采用以下第（</w:t>
      </w:r>
      <w:r>
        <w:rPr>
          <w:rFonts w:hint="eastAsia" w:ascii="仿宋" w:hAnsi="仿宋" w:eastAsia="仿宋" w:cs="仿宋"/>
          <w:kern w:val="0"/>
          <w:sz w:val="20"/>
          <w:szCs w:val="20"/>
          <w:lang w:val="en-US" w:eastAsia="zh-CN"/>
        </w:rPr>
        <w:t xml:space="preserve"> </w:t>
      </w:r>
      <w:r>
        <w:rPr>
          <w:rFonts w:hint="eastAsia" w:ascii="仿宋" w:hAnsi="仿宋" w:eastAsia="仿宋" w:cs="仿宋"/>
          <w:kern w:val="0"/>
          <w:sz w:val="20"/>
          <w:szCs w:val="20"/>
        </w:rPr>
        <w:t>）种争议解决方式：</w:t>
      </w:r>
    </w:p>
    <w:p w14:paraId="311D04DB">
      <w:pPr>
        <w:widowControl/>
        <w:autoSpaceDE w:val="0"/>
        <w:autoSpaceDN w:val="0"/>
        <w:snapToGrid w:val="0"/>
        <w:spacing w:line="360" w:lineRule="auto"/>
        <w:ind w:right="-110"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（1）、甲、乙双方均同意向（甲方所在地人民法院）提起诉讼。</w:t>
      </w:r>
    </w:p>
    <w:p w14:paraId="5D90E153">
      <w:pPr>
        <w:widowControl/>
        <w:autoSpaceDE w:val="0"/>
        <w:autoSpaceDN w:val="0"/>
        <w:snapToGrid w:val="0"/>
        <w:spacing w:line="360" w:lineRule="auto"/>
        <w:ind w:right="-110"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（2）、甲、乙双方均同意向（</w:t>
      </w:r>
      <w:r>
        <w:rPr>
          <w:rFonts w:hint="eastAsia" w:ascii="仿宋" w:hAnsi="仿宋" w:eastAsia="仿宋" w:cs="仿宋"/>
          <w:kern w:val="0"/>
          <w:sz w:val="20"/>
          <w:szCs w:val="20"/>
        </w:rPr>
        <w:fldChar w:fldCharType="begin"/>
      </w:r>
      <w:r>
        <w:rPr>
          <w:rFonts w:hint="eastAsia" w:ascii="仿宋" w:hAnsi="仿宋" w:eastAsia="仿宋" w:cs="仿宋"/>
          <w:kern w:val="0"/>
          <w:sz w:val="20"/>
          <w:szCs w:val="20"/>
        </w:rPr>
        <w:instrText xml:space="preserve"> HYPERLINK "http://www.baidu.com/s?wd=%E4%BB%B2%E8%A3%81%E5%A7%94%E5%91%98%E4%BC%9A&amp;tn=SE_PcZhidaonwhc_ngpagmjz&amp;rsv_dl=gh_pc_zhidao" \t "_blank" </w:instrText>
      </w:r>
      <w:r>
        <w:rPr>
          <w:rFonts w:hint="eastAsia" w:ascii="仿宋" w:hAnsi="仿宋" w:eastAsia="仿宋" w:cs="仿宋"/>
          <w:kern w:val="0"/>
          <w:sz w:val="20"/>
          <w:szCs w:val="20"/>
        </w:rPr>
        <w:fldChar w:fldCharType="separate"/>
      </w:r>
      <w:r>
        <w:rPr>
          <w:rStyle w:val="10"/>
          <w:rFonts w:hint="eastAsia" w:ascii="仿宋" w:hAnsi="仿宋" w:eastAsia="仿宋" w:cs="仿宋"/>
          <w:color w:val="auto"/>
          <w:kern w:val="0"/>
          <w:sz w:val="20"/>
          <w:szCs w:val="20"/>
        </w:rPr>
        <w:t>仲裁委员会</w:t>
      </w:r>
      <w:r>
        <w:rPr>
          <w:rFonts w:hint="eastAsia" w:ascii="仿宋" w:hAnsi="仿宋" w:eastAsia="仿宋" w:cs="仿宋"/>
          <w:kern w:val="0"/>
          <w:sz w:val="20"/>
          <w:szCs w:val="20"/>
        </w:rPr>
        <w:fldChar w:fldCharType="end"/>
      </w:r>
      <w:r>
        <w:rPr>
          <w:rFonts w:hint="eastAsia" w:ascii="仿宋" w:hAnsi="仿宋" w:eastAsia="仿宋" w:cs="仿宋"/>
          <w:kern w:val="0"/>
          <w:sz w:val="20"/>
          <w:szCs w:val="20"/>
        </w:rPr>
        <w:t>）提起仲裁。</w:t>
      </w:r>
    </w:p>
    <w:p w14:paraId="7C89DE5D">
      <w:pPr>
        <w:pStyle w:val="4"/>
        <w:spacing w:line="360" w:lineRule="auto"/>
        <w:ind w:firstLine="402" w:firstLineChars="200"/>
        <w:rPr>
          <w:rFonts w:hint="eastAsia" w:ascii="仿宋" w:hAnsi="仿宋" w:eastAsia="仿宋" w:cs="仿宋"/>
          <w:b/>
          <w:color w:val="auto"/>
          <w:sz w:val="20"/>
          <w:szCs w:val="20"/>
          <w:lang w:val="zh-CN"/>
        </w:rPr>
      </w:pPr>
      <w:bookmarkStart w:id="26" w:name="_Toc12627529"/>
      <w:bookmarkStart w:id="27" w:name="_Toc55566017"/>
      <w:bookmarkStart w:id="28" w:name="_Toc79485663"/>
      <w:r>
        <w:rPr>
          <w:rFonts w:hint="eastAsia" w:ascii="仿宋" w:hAnsi="仿宋" w:eastAsia="仿宋" w:cs="仿宋"/>
          <w:b/>
          <w:color w:val="auto"/>
          <w:sz w:val="20"/>
          <w:szCs w:val="20"/>
          <w:lang w:val="zh-CN"/>
        </w:rPr>
        <w:t>十三、合同生效及其它</w:t>
      </w:r>
      <w:bookmarkEnd w:id="26"/>
      <w:bookmarkEnd w:id="27"/>
      <w:bookmarkEnd w:id="28"/>
    </w:p>
    <w:p w14:paraId="4E7C8C18">
      <w:pPr>
        <w:widowControl/>
        <w:autoSpaceDE w:val="0"/>
        <w:autoSpaceDN w:val="0"/>
        <w:snapToGrid w:val="0"/>
        <w:spacing w:line="360" w:lineRule="auto"/>
        <w:ind w:right="-110"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1、合同未尽事宜、由甲、乙双方协商，作为合同补充，与原合同具有同等法律效力。</w:t>
      </w:r>
    </w:p>
    <w:p w14:paraId="768EDF44">
      <w:pPr>
        <w:widowControl/>
        <w:tabs>
          <w:tab w:val="left" w:pos="8391"/>
        </w:tabs>
        <w:autoSpaceDE w:val="0"/>
        <w:autoSpaceDN w:val="0"/>
        <w:snapToGrid w:val="0"/>
        <w:spacing w:line="360" w:lineRule="auto"/>
        <w:ind w:right="-69"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2、本合同正本一式</w:t>
      </w:r>
      <w:r>
        <w:rPr>
          <w:rFonts w:hint="eastAsia" w:ascii="仿宋" w:hAnsi="仿宋" w:eastAsia="仿宋" w:cs="仿宋"/>
          <w:kern w:val="0"/>
          <w:sz w:val="20"/>
          <w:szCs w:val="20"/>
          <w:u w:val="single"/>
        </w:rPr>
        <w:t xml:space="preserve">  </w:t>
      </w:r>
      <w:r>
        <w:rPr>
          <w:rFonts w:hint="eastAsia" w:ascii="仿宋" w:hAnsi="仿宋" w:eastAsia="仿宋" w:cs="仿宋"/>
          <w:kern w:val="0"/>
          <w:sz w:val="20"/>
          <w:szCs w:val="20"/>
        </w:rPr>
        <w:t>份，甲方、乙方双方分别执</w:t>
      </w:r>
      <w:r>
        <w:rPr>
          <w:rFonts w:hint="eastAsia" w:ascii="仿宋" w:hAnsi="仿宋" w:eastAsia="仿宋" w:cs="仿宋"/>
          <w:kern w:val="0"/>
          <w:sz w:val="20"/>
          <w:szCs w:val="20"/>
          <w:u w:val="single"/>
        </w:rPr>
        <w:t xml:space="preserve">  </w:t>
      </w:r>
      <w:r>
        <w:rPr>
          <w:rFonts w:hint="eastAsia" w:ascii="仿宋" w:hAnsi="仿宋" w:eastAsia="仿宋" w:cs="仿宋"/>
          <w:kern w:val="0"/>
          <w:sz w:val="20"/>
          <w:szCs w:val="20"/>
        </w:rPr>
        <w:t>份。</w:t>
      </w:r>
    </w:p>
    <w:p w14:paraId="05ACA680">
      <w:pPr>
        <w:widowControl/>
        <w:tabs>
          <w:tab w:val="left" w:pos="8391"/>
        </w:tabs>
        <w:autoSpaceDE w:val="0"/>
        <w:autoSpaceDN w:val="0"/>
        <w:snapToGrid w:val="0"/>
        <w:spacing w:line="360" w:lineRule="auto"/>
        <w:ind w:right="-69"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3、合同经甲乙双方签字盖章或盖章后生效，合同签订地点为</w:t>
      </w:r>
      <w:r>
        <w:rPr>
          <w:rFonts w:hint="eastAsia" w:ascii="仿宋" w:hAnsi="仿宋" w:eastAsia="仿宋" w:cs="仿宋"/>
          <w:kern w:val="0"/>
          <w:sz w:val="20"/>
          <w:szCs w:val="20"/>
          <w:u w:val="single"/>
        </w:rPr>
        <w:t xml:space="preserve">       </w:t>
      </w:r>
      <w:r>
        <w:rPr>
          <w:rFonts w:hint="eastAsia" w:ascii="仿宋" w:hAnsi="仿宋" w:eastAsia="仿宋" w:cs="仿宋"/>
          <w:kern w:val="0"/>
          <w:sz w:val="20"/>
          <w:szCs w:val="20"/>
        </w:rPr>
        <w:t>。</w:t>
      </w:r>
    </w:p>
    <w:tbl>
      <w:tblPr>
        <w:tblStyle w:val="8"/>
        <w:tblpPr w:leftFromText="180" w:rightFromText="180" w:vertAnchor="text" w:horzAnchor="page" w:tblpX="1810" w:tblpY="607"/>
        <w:tblW w:w="8046" w:type="dxa"/>
        <w:tblInd w:w="0" w:type="dxa"/>
        <w:tblLayout w:type="fixed"/>
        <w:tblCellMar>
          <w:top w:w="0" w:type="dxa"/>
          <w:left w:w="108" w:type="dxa"/>
          <w:bottom w:w="0" w:type="dxa"/>
          <w:right w:w="108" w:type="dxa"/>
        </w:tblCellMar>
      </w:tblPr>
      <w:tblGrid>
        <w:gridCol w:w="4643"/>
        <w:gridCol w:w="3403"/>
      </w:tblGrid>
      <w:tr w14:paraId="6E9C51CB">
        <w:tblPrEx>
          <w:tblCellMar>
            <w:top w:w="0" w:type="dxa"/>
            <w:left w:w="108" w:type="dxa"/>
            <w:bottom w:w="0" w:type="dxa"/>
            <w:right w:w="108" w:type="dxa"/>
          </w:tblCellMar>
        </w:tblPrEx>
        <w:tc>
          <w:tcPr>
            <w:tcW w:w="4643" w:type="dxa"/>
            <w:noWrap w:val="0"/>
            <w:vAlign w:val="top"/>
          </w:tcPr>
          <w:p w14:paraId="466D0FEA">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甲方名称</w:t>
            </w:r>
            <w:r>
              <w:rPr>
                <w:rFonts w:hint="eastAsia" w:ascii="仿宋" w:hAnsi="仿宋" w:eastAsia="仿宋" w:cs="仿宋"/>
                <w:spacing w:val="-20"/>
                <w:kern w:val="0"/>
                <w:sz w:val="20"/>
                <w:szCs w:val="20"/>
              </w:rPr>
              <w:t>（盖章）</w:t>
            </w:r>
            <w:r>
              <w:rPr>
                <w:rFonts w:hint="eastAsia" w:ascii="仿宋" w:hAnsi="仿宋" w:eastAsia="仿宋" w:cs="仿宋"/>
                <w:kern w:val="0"/>
                <w:sz w:val="20"/>
                <w:szCs w:val="20"/>
              </w:rPr>
              <w:t>:</w:t>
            </w:r>
          </w:p>
          <w:p w14:paraId="009B7E62">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地址：</w:t>
            </w:r>
          </w:p>
          <w:p w14:paraId="12EA4456">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代表人（签字）：</w:t>
            </w:r>
          </w:p>
          <w:p w14:paraId="347485DC">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电话：</w:t>
            </w:r>
          </w:p>
          <w:p w14:paraId="6D045BC8">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开户银行：</w:t>
            </w:r>
          </w:p>
          <w:p w14:paraId="52D042C5">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帐号：</w:t>
            </w:r>
          </w:p>
        </w:tc>
        <w:tc>
          <w:tcPr>
            <w:tcW w:w="3403" w:type="dxa"/>
            <w:noWrap w:val="0"/>
            <w:vAlign w:val="top"/>
          </w:tcPr>
          <w:p w14:paraId="65F1D004">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乙方名称</w:t>
            </w:r>
            <w:r>
              <w:rPr>
                <w:rFonts w:hint="eastAsia" w:ascii="仿宋" w:hAnsi="仿宋" w:eastAsia="仿宋" w:cs="仿宋"/>
                <w:spacing w:val="-20"/>
                <w:kern w:val="0"/>
                <w:sz w:val="20"/>
                <w:szCs w:val="20"/>
              </w:rPr>
              <w:t>（盖章）</w:t>
            </w:r>
            <w:r>
              <w:rPr>
                <w:rFonts w:hint="eastAsia" w:ascii="仿宋" w:hAnsi="仿宋" w:eastAsia="仿宋" w:cs="仿宋"/>
                <w:kern w:val="0"/>
                <w:sz w:val="20"/>
                <w:szCs w:val="20"/>
              </w:rPr>
              <w:t>:</w:t>
            </w:r>
          </w:p>
          <w:p w14:paraId="5CCEC6AE">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地址：</w:t>
            </w:r>
          </w:p>
          <w:p w14:paraId="50526EB6">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代表人（签字）：</w:t>
            </w:r>
          </w:p>
          <w:p w14:paraId="4BD54017">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电话：</w:t>
            </w:r>
          </w:p>
          <w:p w14:paraId="2127FAE5">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开户银行：</w:t>
            </w:r>
          </w:p>
          <w:p w14:paraId="3B092F43">
            <w:pPr>
              <w:widowControl/>
              <w:autoSpaceDE w:val="0"/>
              <w:autoSpaceDN w:val="0"/>
              <w:snapToGrid w:val="0"/>
              <w:spacing w:line="360" w:lineRule="auto"/>
              <w:ind w:right="-153" w:firstLine="400" w:firstLineChars="200"/>
              <w:textAlignment w:val="bottom"/>
              <w:rPr>
                <w:rFonts w:hint="eastAsia" w:ascii="仿宋" w:hAnsi="仿宋" w:eastAsia="仿宋" w:cs="仿宋"/>
                <w:kern w:val="0"/>
                <w:sz w:val="20"/>
                <w:szCs w:val="20"/>
              </w:rPr>
            </w:pPr>
            <w:r>
              <w:rPr>
                <w:rFonts w:hint="eastAsia" w:ascii="仿宋" w:hAnsi="仿宋" w:eastAsia="仿宋" w:cs="仿宋"/>
                <w:kern w:val="0"/>
                <w:sz w:val="20"/>
                <w:szCs w:val="20"/>
              </w:rPr>
              <w:t>帐号：</w:t>
            </w:r>
          </w:p>
        </w:tc>
      </w:tr>
    </w:tbl>
    <w:p w14:paraId="4530D7D0"/>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477C0">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83652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483652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77592">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BC6CA0"/>
    <w:rsid w:val="09BC6CA0"/>
    <w:rsid w:val="38E4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b/>
      <w:kern w:val="0"/>
      <w:sz w:val="4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列出段落1"/>
    <w:basedOn w:val="1"/>
    <w:autoRedefine/>
    <w:qFormat/>
    <w:uiPriority w:val="99"/>
    <w:pPr>
      <w:ind w:firstLine="420" w:firstLineChars="200"/>
    </w:pPr>
    <w:rPr>
      <w:szCs w:val="20"/>
    </w:rPr>
  </w:style>
  <w:style w:type="paragraph" w:styleId="4">
    <w:name w:val="Body Text"/>
    <w:basedOn w:val="1"/>
    <w:next w:val="1"/>
    <w:qFormat/>
    <w:uiPriority w:val="0"/>
    <w:rPr>
      <w:color w:val="993300"/>
      <w:sz w:val="24"/>
    </w:rPr>
  </w:style>
  <w:style w:type="paragraph" w:styleId="5">
    <w:name w:val="Body Text Indent"/>
    <w:basedOn w:val="1"/>
    <w:qFormat/>
    <w:uiPriority w:val="0"/>
    <w:pPr>
      <w:ind w:firstLine="552"/>
    </w:pPr>
    <w:rPr>
      <w:rFonts w:ascii="宋体"/>
      <w:sz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0">
    <w:name w:val="Hyperlink"/>
    <w:qFormat/>
    <w:uiPriority w:val="0"/>
    <w:rPr>
      <w:color w:val="136EC2"/>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2051</Words>
  <Characters>2068</Characters>
  <Lines>0</Lines>
  <Paragraphs>0</Paragraphs>
  <TotalTime>0</TotalTime>
  <ScaleCrop>false</ScaleCrop>
  <LinksUpToDate>false</LinksUpToDate>
  <CharactersWithSpaces>2151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2026-03-26T06:36:00Z</dcterms:created>
  <dc:creator>刘海召</dc:creator>
  <cp:lastModifiedBy>刘海召</cp:lastModifiedBy>
  <dcterms:modified xsi:type="dcterms:W3CDTF">2026-03-26T06:40:22Z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5CB15815391F48758C9F8356A19E6B33_11</vt:lpwstr>
  </property>
  <property fmtid="{D5CDD505-2E9C-101B-9397-08002B2CF9AE}" pid="4" name="KSOTemplateDocerSaveRecord">
    <vt:lpwstr>eyJoZGlkIjoiODA0MjMyMzAyMzNkOWQ5NDMxMzg5ZDc2ZmE4YTJmMTUiLCJ1c2VySWQiOiIyOTIyMzgzNTEifQ==</vt:lpwstr>
  </property>
</Properties>
</file>