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版本号：ZBXA-260300120260327001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西安市雁塔区2026年度规划编制服务等相关服务项目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ZBXA-2603001</w:t>
      </w:r>
      <w:r>
        <w:br/>
      </w:r>
      <w:r>
        <w:br/>
      </w:r>
      <w:r>
        <w:br/>
      </w:r>
    </w:p>
    <w:p>
      <w:pPr>
        <w:pStyle w:val="null3"/>
        <w:jc w:val="center"/>
        <w:outlineLvl w:val="2"/>
      </w:pPr>
      <w:r>
        <w:rPr>
          <w:rFonts w:ascii="仿宋_GB2312" w:hAnsi="仿宋_GB2312" w:cs="仿宋_GB2312" w:eastAsia="仿宋_GB2312"/>
          <w:sz w:val="28"/>
          <w:b/>
        </w:rPr>
        <w:t>西安市自然资源和规划局雁塔分局</w:t>
      </w:r>
    </w:p>
    <w:p>
      <w:pPr>
        <w:pStyle w:val="null3"/>
        <w:jc w:val="center"/>
        <w:outlineLvl w:val="2"/>
      </w:pPr>
      <w:r>
        <w:rPr>
          <w:rFonts w:ascii="仿宋_GB2312" w:hAnsi="仿宋_GB2312" w:cs="仿宋_GB2312" w:eastAsia="仿宋_GB2312"/>
          <w:sz w:val="28"/>
          <w:b/>
        </w:rPr>
        <w:t>信宇腾远工程咨询集团有限公司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信宇腾远工程咨询集团有限公司</w:t>
      </w:r>
      <w:r>
        <w:rPr>
          <w:rFonts w:ascii="仿宋_GB2312" w:hAnsi="仿宋_GB2312" w:cs="仿宋_GB2312" w:eastAsia="仿宋_GB2312"/>
        </w:rPr>
        <w:t>（以下简称“代理机构”）受</w:t>
      </w:r>
      <w:r>
        <w:rPr>
          <w:rFonts w:ascii="仿宋_GB2312" w:hAnsi="仿宋_GB2312" w:cs="仿宋_GB2312" w:eastAsia="仿宋_GB2312"/>
        </w:rPr>
        <w:t>西安市自然资源和规划局雁塔分局</w:t>
      </w:r>
      <w:r>
        <w:rPr>
          <w:rFonts w:ascii="仿宋_GB2312" w:hAnsi="仿宋_GB2312" w:cs="仿宋_GB2312" w:eastAsia="仿宋_GB2312"/>
        </w:rPr>
        <w:t>委托，拟对</w:t>
      </w:r>
      <w:r>
        <w:rPr>
          <w:rFonts w:ascii="仿宋_GB2312" w:hAnsi="仿宋_GB2312" w:cs="仿宋_GB2312" w:eastAsia="仿宋_GB2312"/>
        </w:rPr>
        <w:t>西安市雁塔区2026年度规划编制服务等相关服务项目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ZBXA-2603001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西安市雁塔区2026年度规划编制服务等相关服务项目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西安市雁塔区2026年度规划编制服务等相关服务项目，具体详见招标文件第三章。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度经审计的完整财务报告（成立时间至提交响应文件截止时间不足一年的可提供成立后任意时段的资产负债表）；或其开标前三个月内基本存款账户开户银行出具的资信证明及基本存款账户开户许可证（基本存款账户信息）。</w:t>
      </w:r>
    </w:p>
    <w:p>
      <w:pPr>
        <w:pStyle w:val="null3"/>
      </w:pPr>
      <w:r>
        <w:rPr>
          <w:rFonts w:ascii="仿宋_GB2312" w:hAnsi="仿宋_GB2312" w:cs="仿宋_GB2312" w:eastAsia="仿宋_GB2312"/>
        </w:rPr>
        <w:t>3、社会保障资金缴纳证明：提供2025年10月至今任意一个月的社会保障资金缴存单据或社保机构开具的社会保险参保缴费情况证明，依法不需要缴纳社会保障资金的单位应提供相关证明材料。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4、税收缴纳证明：提供2025年10月至今任意一个月的纳税证明或完税证明（时间以税款所属日期为准)，依法免税的单位应提供相关证明材料。</w:t>
      </w:r>
    </w:p>
    <w:p>
      <w:pPr>
        <w:pStyle w:val="null3"/>
      </w:pPr>
      <w:r>
        <w:rPr>
          <w:rFonts w:ascii="仿宋_GB2312" w:hAnsi="仿宋_GB2312" w:cs="仿宋_GB2312" w:eastAsia="仿宋_GB2312"/>
        </w:rPr>
        <w:t>5、参加政府采购活动前三年内，在经营活动中没有重大违法记录：出具参加本次政府采购活动前三年内，在经营活动中没有重大违法记录的书面声明。</w:t>
      </w:r>
    </w:p>
    <w:p>
      <w:pPr>
        <w:pStyle w:val="null3"/>
      </w:pPr>
      <w:r>
        <w:rPr>
          <w:rFonts w:ascii="仿宋_GB2312" w:hAnsi="仿宋_GB2312" w:cs="仿宋_GB2312" w:eastAsia="仿宋_GB2312"/>
        </w:rPr>
        <w:t>6、具备履行合同所必须的设备和专业技术能力：提供具有履行合同所必需的设备和专业技术能力的书面声明。</w:t>
      </w:r>
    </w:p>
    <w:p>
      <w:pPr>
        <w:pStyle w:val="null3"/>
      </w:pPr>
      <w:r>
        <w:rPr>
          <w:rFonts w:ascii="仿宋_GB2312" w:hAnsi="仿宋_GB2312" w:cs="仿宋_GB2312" w:eastAsia="仿宋_GB2312"/>
        </w:rPr>
        <w:t>7、企业资质：投标人须具备城乡规划编制乙级及以上资质（含乙级）。</w:t>
      </w:r>
    </w:p>
    <w:p>
      <w:pPr>
        <w:pStyle w:val="null3"/>
      </w:pPr>
      <w:r>
        <w:rPr>
          <w:rFonts w:ascii="仿宋_GB2312" w:hAnsi="仿宋_GB2312" w:cs="仿宋_GB2312" w:eastAsia="仿宋_GB2312"/>
        </w:rPr>
        <w:t>8、信用记录：投标人未被列入信用中国网站(www.creditchina.gov.cn)“失信被执行人”（页面跳转至“中国执行信息公开网”http://zxgk.court.gov.cn/shixin/）和“重大税收违法失信主体名单”；不得为中国政府采购网(http://www.ccgp.gov.cn)“政府采购严重违法失信行为记录名单”中被财政部门禁止参加政府采购活动的供应商。</w:t>
      </w:r>
    </w:p>
    <w:p>
      <w:pPr>
        <w:pStyle w:val="null3"/>
      </w:pPr>
      <w:r>
        <w:rPr>
          <w:rFonts w:ascii="仿宋_GB2312" w:hAnsi="仿宋_GB2312" w:cs="仿宋_GB2312" w:eastAsia="仿宋_GB2312"/>
        </w:rPr>
        <w:t>9、法定代表人身份证明/法定代表人授权委托书：法定代表人直接参加投标的，须提供法定代表人身份证明及身份证扫描件；法定代表人授权代表参加投标的，须出具法定代表人授权委托书、授权代表身份证扫描件及被授权人投标前三个月内任意一个月的社会保障资金缴纳证明。</w:t>
      </w:r>
    </w:p>
    <w:p>
      <w:pPr>
        <w:pStyle w:val="null3"/>
      </w:pPr>
      <w:r>
        <w:rPr>
          <w:rFonts w:ascii="仿宋_GB2312" w:hAnsi="仿宋_GB2312" w:cs="仿宋_GB2312" w:eastAsia="仿宋_GB2312"/>
        </w:rPr>
        <w:t>10、非联合体投标：本项目不接受联合体投标。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西安市自然资源和规划局雁塔分局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西安市雁塔区朱雀大街21号朱雀云天</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柴工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029-85263777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信宇腾远工程咨询集团有限公司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西安市未央区明光路55号天朗经开中心25楼12503室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胡工 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18392963143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采购包1：4,437,500.00元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单位应在领取中标（成交）通知书前依据中标金额向代理机构缴纳代理服务费，参考国家计委颁布的《招标代理服务收费管理暂行办法》（计价格[2002]1980号）和（发改办价格[2003]857号）文收费标准计取。 招标代理服务费缴纳账户信息如下： 账户名称：信宇腾远工程咨询集团有限公司 开户行： 陕西商南农村商业银行股份有限公司 银行账号：2708050101201000087857</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西安市自然资源和规划局雁塔分局</w:t>
      </w:r>
      <w:r>
        <w:rPr>
          <w:rFonts w:ascii="仿宋_GB2312" w:hAnsi="仿宋_GB2312" w:cs="仿宋_GB2312" w:eastAsia="仿宋_GB2312"/>
        </w:rPr>
        <w:t>和</w:t>
      </w:r>
      <w:r>
        <w:rPr>
          <w:rFonts w:ascii="仿宋_GB2312" w:hAnsi="仿宋_GB2312" w:cs="仿宋_GB2312" w:eastAsia="仿宋_GB2312"/>
        </w:rPr>
        <w:t>信宇腾远工程咨询集团有限公司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西安市自然资源和规划局雁塔分局</w:t>
      </w:r>
      <w:r>
        <w:rPr>
          <w:rFonts w:ascii="仿宋_GB2312" w:hAnsi="仿宋_GB2312" w:cs="仿宋_GB2312" w:eastAsia="仿宋_GB2312"/>
        </w:rPr>
        <w:t>负责解释。除上述招标文件内容，其他内容由</w:t>
      </w:r>
      <w:r>
        <w:rPr>
          <w:rFonts w:ascii="仿宋_GB2312" w:hAnsi="仿宋_GB2312" w:cs="仿宋_GB2312" w:eastAsia="仿宋_GB2312"/>
        </w:rPr>
        <w:t>信宇腾远工程咨询集团有限公司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西安市自然资源和规划局雁塔分局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信宇腾远工程咨询集团有限公司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1.满足国家、省、市相关标准、规范以及招标人要求。2.按照招标文件及所签订的合同内容执行。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联系人：胡工、张工</w:t>
      </w:r>
    </w:p>
    <w:p>
      <w:pPr>
        <w:pStyle w:val="null3"/>
      </w:pPr>
      <w:r>
        <w:rPr>
          <w:rFonts w:ascii="仿宋_GB2312" w:hAnsi="仿宋_GB2312" w:cs="仿宋_GB2312" w:eastAsia="仿宋_GB2312"/>
        </w:rPr>
        <w:t>联系电话：18392963143</w:t>
      </w:r>
    </w:p>
    <w:p>
      <w:pPr>
        <w:pStyle w:val="null3"/>
      </w:pPr>
      <w:r>
        <w:rPr>
          <w:rFonts w:ascii="仿宋_GB2312" w:hAnsi="仿宋_GB2312" w:cs="仿宋_GB2312" w:eastAsia="仿宋_GB2312"/>
        </w:rPr>
        <w:t>地址：西安市未央区明光路55号天朗经开中心25楼12503室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贯彻落实国土空间规划体系改革要求，强化规划引领和土地要素保障，提升自然资源精细化管理水平，需采购专业技术服务团队，围绕“规划+土地”核心业务，提供全方位的技术支撑与服务。总体目标是：保障年度土地整备与征储供计划科学制定与高效执行，深化地块实施详细规划研究，实现片区单元详规一张图的动态更新与维护，完成区域国土空间规划的动态维护，并提供及时、准确的信息数据与信息技术咨询服务，为区县、开发区的经济社会发展提供坚实的空间保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4,437,500.00</w:t>
      </w:r>
    </w:p>
    <w:p>
      <w:pPr>
        <w:pStyle w:val="null3"/>
      </w:pPr>
      <w:r>
        <w:rPr>
          <w:rFonts w:ascii="仿宋_GB2312" w:hAnsi="仿宋_GB2312" w:cs="仿宋_GB2312" w:eastAsia="仿宋_GB2312"/>
        </w:rPr>
        <w:t>采购包最高限价（元）: 4,437,500.00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西安市雁塔区2026年度规划编制服务等相关服务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4,437,500.00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标的名称：西安市雁塔区2026年度规划编制服务等相关服务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w:t>
            </w:r>
            <w:r>
              <w:rPr>
                <w:rFonts w:ascii="仿宋_GB2312" w:hAnsi="仿宋_GB2312" w:cs="仿宋_GB2312" w:eastAsia="仿宋_GB2312"/>
                <w:b/>
              </w:rPr>
              <w:t>项目背景与总体目标</w:t>
            </w:r>
          </w:p>
          <w:p>
            <w:pPr>
              <w:pStyle w:val="null3"/>
              <w:ind w:firstLine="400"/>
            </w:pPr>
            <w:r>
              <w:rPr>
                <w:rFonts w:ascii="仿宋_GB2312" w:hAnsi="仿宋_GB2312" w:cs="仿宋_GB2312" w:eastAsia="仿宋_GB2312"/>
              </w:rPr>
              <w:t>为贯彻落实国土空间规划体系改革要求，强化规划引领和土地要素保障，提升自然资源精细化管理水平，需采购专业技术服务团队，围绕</w:t>
            </w:r>
            <w:r>
              <w:rPr>
                <w:rFonts w:ascii="仿宋_GB2312" w:hAnsi="仿宋_GB2312" w:cs="仿宋_GB2312" w:eastAsia="仿宋_GB2312"/>
              </w:rPr>
              <w:t>“规划+土地”核心业务，提供全方位的技术支撑与服务。总体目标是：保障年度土地整备与征储供计划科学制定与高效执行，深化地块实施详细规划研究，实现片区单元详规一张图的动态更新与维护，完成区域国土空间规划的动态维护，并提供及时、准确的信息数据与信息技术咨询服务，为区县、开发区的经济社会发展提供坚实的空间保障。</w:t>
            </w:r>
          </w:p>
          <w:p>
            <w:pPr>
              <w:pStyle w:val="null3"/>
            </w:pPr>
            <w:r>
              <w:rPr>
                <w:rFonts w:ascii="仿宋_GB2312" w:hAnsi="仿宋_GB2312" w:cs="仿宋_GB2312" w:eastAsia="仿宋_GB2312"/>
                <w:b/>
              </w:rPr>
              <w:t>二、</w:t>
            </w:r>
            <w:r>
              <w:rPr>
                <w:rFonts w:ascii="仿宋_GB2312" w:hAnsi="仿宋_GB2312" w:cs="仿宋_GB2312" w:eastAsia="仿宋_GB2312"/>
                <w:b/>
              </w:rPr>
              <w:t>工作内容与服务要求</w:t>
            </w:r>
          </w:p>
          <w:p>
            <w:pPr>
              <w:pStyle w:val="null3"/>
            </w:pPr>
            <w:r>
              <w:rPr>
                <w:rFonts w:ascii="仿宋_GB2312" w:hAnsi="仿宋_GB2312" w:cs="仿宋_GB2312" w:eastAsia="仿宋_GB2312"/>
              </w:rPr>
              <w:t>本次采购的技术服务内容涵盖以下五个方面。</w:t>
            </w:r>
          </w:p>
          <w:p>
            <w:pPr>
              <w:pStyle w:val="null3"/>
            </w:pPr>
            <w:r>
              <w:rPr>
                <w:rFonts w:ascii="仿宋_GB2312" w:hAnsi="仿宋_GB2312" w:cs="仿宋_GB2312" w:eastAsia="仿宋_GB2312"/>
              </w:rPr>
              <w:t>（一）</w:t>
            </w:r>
            <w:r>
              <w:rPr>
                <w:rFonts w:ascii="仿宋_GB2312" w:hAnsi="仿宋_GB2312" w:cs="仿宋_GB2312" w:eastAsia="仿宋_GB2312"/>
              </w:rPr>
              <w:t>年度土地整备专项与征储供计划</w:t>
            </w:r>
          </w:p>
          <w:p>
            <w:pPr>
              <w:pStyle w:val="null3"/>
            </w:pPr>
            <w:r>
              <w:rPr>
                <w:rFonts w:ascii="仿宋_GB2312" w:hAnsi="仿宋_GB2312" w:cs="仿宋_GB2312" w:eastAsia="仿宋_GB2312"/>
              </w:rPr>
              <w:t>1.工作目标： 基于全区（县/开发区）详细规划全覆盖成果和五类用地分类成果，结合实际情况，协助采购人科学制定年度土地整备与征收、储备、供应计划，形成可实施、可考核的“三图”成果。</w:t>
            </w:r>
          </w:p>
          <w:p>
            <w:pPr>
              <w:pStyle w:val="null3"/>
            </w:pPr>
            <w:r>
              <w:rPr>
                <w:rFonts w:ascii="仿宋_GB2312" w:hAnsi="仿宋_GB2312" w:cs="仿宋_GB2312" w:eastAsia="仿宋_GB2312"/>
              </w:rPr>
              <w:t>2.具体任务：</w:t>
            </w:r>
          </w:p>
          <w:p>
            <w:pPr>
              <w:pStyle w:val="null3"/>
            </w:pPr>
            <w:r>
              <w:rPr>
                <w:rFonts w:ascii="仿宋_GB2312" w:hAnsi="仿宋_GB2312" w:cs="仿宋_GB2312" w:eastAsia="仿宋_GB2312"/>
              </w:rPr>
              <w:t>（</w:t>
            </w:r>
            <w:r>
              <w:rPr>
                <w:rFonts w:ascii="仿宋_GB2312" w:hAnsi="仿宋_GB2312" w:cs="仿宋_GB2312" w:eastAsia="仿宋_GB2312"/>
              </w:rPr>
              <w:t>1）资源潜力分析： 全面梳理现状土地条件、存量可利用土地资源（包括批而未供、闲置土地、低效用地等），结合详细规划管控要求，进行用地潜力分析，识别可用于年度征储供的地块。</w:t>
            </w:r>
          </w:p>
          <w:p>
            <w:pPr>
              <w:pStyle w:val="null3"/>
            </w:pPr>
            <w:r>
              <w:rPr>
                <w:rFonts w:ascii="仿宋_GB2312" w:hAnsi="仿宋_GB2312" w:cs="仿宋_GB2312" w:eastAsia="仿宋_GB2312"/>
              </w:rPr>
              <w:t>（</w:t>
            </w:r>
            <w:r>
              <w:rPr>
                <w:rFonts w:ascii="仿宋_GB2312" w:hAnsi="仿宋_GB2312" w:cs="仿宋_GB2312" w:eastAsia="仿宋_GB2312"/>
              </w:rPr>
              <w:t>2）一体化测算与“三图”编制： 统筹考虑规划条件、土地成本、预期出让收益，进行投入产出测算。按照“规划-征储供-储备投资-收益测算”全链条一体化思路，协助编制《年度土地整备与征储供计划》“三图”。</w:t>
            </w:r>
          </w:p>
          <w:p>
            <w:pPr>
              <w:pStyle w:val="null3"/>
            </w:pPr>
            <w:r>
              <w:rPr>
                <w:rFonts w:ascii="仿宋_GB2312" w:hAnsi="仿宋_GB2312" w:cs="仿宋_GB2312" w:eastAsia="仿宋_GB2312"/>
              </w:rPr>
              <w:t>（二）</w:t>
            </w:r>
            <w:r>
              <w:rPr>
                <w:rFonts w:ascii="仿宋_GB2312" w:hAnsi="仿宋_GB2312" w:cs="仿宋_GB2312" w:eastAsia="仿宋_GB2312"/>
              </w:rPr>
              <w:t>实施详细规划及规土评让</w:t>
            </w:r>
          </w:p>
          <w:p>
            <w:pPr>
              <w:pStyle w:val="null3"/>
            </w:pPr>
            <w:r>
              <w:rPr>
                <w:rFonts w:ascii="仿宋_GB2312" w:hAnsi="仿宋_GB2312" w:cs="仿宋_GB2312" w:eastAsia="仿宋_GB2312"/>
              </w:rPr>
              <w:t>1.工作目标：</w:t>
            </w:r>
          </w:p>
          <w:p>
            <w:pPr>
              <w:pStyle w:val="null3"/>
            </w:pPr>
            <w:r>
              <w:rPr>
                <w:rFonts w:ascii="仿宋_GB2312" w:hAnsi="仿宋_GB2312" w:cs="仿宋_GB2312" w:eastAsia="仿宋_GB2312"/>
              </w:rPr>
              <w:t xml:space="preserve"> 依据经批准的单元详细规划，针对拟供应地块，编制具有法律效力的实施详细规划，为出具规划条件、核发规划许可及“规土评让”提供直接依据。配合市场对接和土地供应，提供“规土评让”全流程相关技术服务。</w:t>
            </w:r>
          </w:p>
          <w:p>
            <w:pPr>
              <w:pStyle w:val="null3"/>
            </w:pPr>
            <w:r>
              <w:rPr>
                <w:rFonts w:ascii="仿宋_GB2312" w:hAnsi="仿宋_GB2312" w:cs="仿宋_GB2312" w:eastAsia="仿宋_GB2312"/>
              </w:rPr>
              <w:t>2.具体任务：</w:t>
            </w:r>
          </w:p>
          <w:p>
            <w:pPr>
              <w:pStyle w:val="null3"/>
            </w:pPr>
            <w:r>
              <w:rPr>
                <w:rFonts w:ascii="仿宋_GB2312" w:hAnsi="仿宋_GB2312" w:cs="仿宋_GB2312" w:eastAsia="仿宋_GB2312"/>
              </w:rPr>
              <w:t>（</w:t>
            </w:r>
            <w:r>
              <w:rPr>
                <w:rFonts w:ascii="仿宋_GB2312" w:hAnsi="仿宋_GB2312" w:cs="仿宋_GB2312" w:eastAsia="仿宋_GB2312"/>
              </w:rPr>
              <w:t>1）规划方案深化： 严格落实单元详细规划的刚性管控要求，结合土地权属、土地整备方案和“多测合一”基础测绘数据，精准划定地块边界。</w:t>
            </w:r>
          </w:p>
          <w:p>
            <w:pPr>
              <w:pStyle w:val="null3"/>
            </w:pPr>
            <w:r>
              <w:rPr>
                <w:rFonts w:ascii="仿宋_GB2312" w:hAnsi="仿宋_GB2312" w:cs="仿宋_GB2312" w:eastAsia="仿宋_GB2312"/>
              </w:rPr>
              <w:t>（</w:t>
            </w:r>
            <w:r>
              <w:rPr>
                <w:rFonts w:ascii="仿宋_GB2312" w:hAnsi="仿宋_GB2312" w:cs="仿宋_GB2312" w:eastAsia="仿宋_GB2312"/>
              </w:rPr>
              <w:t>2）核心指标确定： 科学确定地块的用地性质、容积率、建筑密度、绿地率、建筑高度、混合用地比例等关键技术指标。</w:t>
            </w:r>
          </w:p>
          <w:p>
            <w:pPr>
              <w:pStyle w:val="null3"/>
            </w:pPr>
            <w:r>
              <w:rPr>
                <w:rFonts w:ascii="仿宋_GB2312" w:hAnsi="仿宋_GB2312" w:cs="仿宋_GB2312" w:eastAsia="仿宋_GB2312"/>
              </w:rPr>
              <w:t>（</w:t>
            </w:r>
            <w:r>
              <w:rPr>
                <w:rFonts w:ascii="仿宋_GB2312" w:hAnsi="仿宋_GB2312" w:cs="仿宋_GB2312" w:eastAsia="仿宋_GB2312"/>
              </w:rPr>
              <w:t>3）公服与市政配套落实： 明确地块内及地块周边需由本项目配建或代建的市政基础设施和公共服务配套设施的用地规模、具体位置、建设内容和移交要求。</w:t>
            </w:r>
          </w:p>
          <w:p>
            <w:pPr>
              <w:pStyle w:val="null3"/>
            </w:pPr>
            <w:r>
              <w:rPr>
                <w:rFonts w:ascii="仿宋_GB2312" w:hAnsi="仿宋_GB2312" w:cs="仿宋_GB2312" w:eastAsia="仿宋_GB2312"/>
              </w:rPr>
              <w:t>（</w:t>
            </w:r>
            <w:r>
              <w:rPr>
                <w:rFonts w:ascii="仿宋_GB2312" w:hAnsi="仿宋_GB2312" w:cs="仿宋_GB2312" w:eastAsia="仿宋_GB2312"/>
              </w:rPr>
              <w:t>4）城市设计引导： 提出建筑形态、风貌色彩、公共空间、景观环境、天际线等城市设计控制要求与引导性内容。</w:t>
            </w:r>
          </w:p>
          <w:p>
            <w:pPr>
              <w:pStyle w:val="null3"/>
            </w:pPr>
            <w:r>
              <w:rPr>
                <w:rFonts w:ascii="仿宋_GB2312" w:hAnsi="仿宋_GB2312" w:cs="仿宋_GB2312" w:eastAsia="仿宋_GB2312"/>
              </w:rPr>
              <w:t>（</w:t>
            </w:r>
            <w:r>
              <w:rPr>
                <w:rFonts w:ascii="仿宋_GB2312" w:hAnsi="仿宋_GB2312" w:cs="仿宋_GB2312" w:eastAsia="仿宋_GB2312"/>
              </w:rPr>
              <w:t>5）成果编制： 形成规范、完整的成果，包括但不限于规划说明书、法定图则、相关技术图纸 以及符合入库标准的GIS数据库。</w:t>
            </w:r>
          </w:p>
          <w:p>
            <w:pPr>
              <w:pStyle w:val="null3"/>
            </w:pPr>
            <w:r>
              <w:rPr>
                <w:rFonts w:ascii="仿宋_GB2312" w:hAnsi="仿宋_GB2312" w:cs="仿宋_GB2312" w:eastAsia="仿宋_GB2312"/>
              </w:rPr>
              <w:t>（三）</w:t>
            </w:r>
            <w:r>
              <w:rPr>
                <w:rFonts w:ascii="仿宋_GB2312" w:hAnsi="仿宋_GB2312" w:cs="仿宋_GB2312" w:eastAsia="仿宋_GB2312"/>
              </w:rPr>
              <w:t>单元详细规划优化调整</w:t>
            </w:r>
          </w:p>
          <w:p>
            <w:pPr>
              <w:pStyle w:val="null3"/>
            </w:pPr>
            <w:r>
              <w:rPr>
                <w:rFonts w:ascii="仿宋_GB2312" w:hAnsi="仿宋_GB2312" w:cs="仿宋_GB2312" w:eastAsia="仿宋_GB2312"/>
              </w:rPr>
              <w:t>1.工作目标： 建立“在地化、常态化、全链条”的单元详细规划优化调整机制，确保单元详细规划“一张图”的现势性、准确性和权威性。</w:t>
            </w:r>
          </w:p>
          <w:p>
            <w:pPr>
              <w:pStyle w:val="null3"/>
            </w:pPr>
            <w:r>
              <w:rPr>
                <w:rFonts w:ascii="仿宋_GB2312" w:hAnsi="仿宋_GB2312" w:cs="仿宋_GB2312" w:eastAsia="仿宋_GB2312"/>
              </w:rPr>
              <w:t>2.具体任务：</w:t>
            </w:r>
          </w:p>
          <w:p>
            <w:pPr>
              <w:pStyle w:val="null3"/>
            </w:pPr>
            <w:r>
              <w:rPr>
                <w:rFonts w:ascii="仿宋_GB2312" w:hAnsi="仿宋_GB2312" w:cs="仿宋_GB2312" w:eastAsia="仿宋_GB2312"/>
              </w:rPr>
              <w:t>（</w:t>
            </w:r>
            <w:r>
              <w:rPr>
                <w:rFonts w:ascii="仿宋_GB2312" w:hAnsi="仿宋_GB2312" w:cs="仿宋_GB2312" w:eastAsia="仿宋_GB2312"/>
              </w:rPr>
              <w:t>1）数据平台监管与维护： 承担单元详细规划“一张图”数据平台的日常监管、数据维护和技术支持工作，确保平台稳定运行，数据调用顺畅。</w:t>
            </w:r>
          </w:p>
          <w:p>
            <w:pPr>
              <w:pStyle w:val="null3"/>
            </w:pPr>
            <w:r>
              <w:rPr>
                <w:rFonts w:ascii="仿宋_GB2312" w:hAnsi="仿宋_GB2312" w:cs="仿宋_GB2312" w:eastAsia="仿宋_GB2312"/>
              </w:rPr>
              <w:t>（</w:t>
            </w:r>
            <w:r>
              <w:rPr>
                <w:rFonts w:ascii="仿宋_GB2312" w:hAnsi="仿宋_GB2312" w:cs="仿宋_GB2312" w:eastAsia="仿宋_GB2312"/>
              </w:rPr>
              <w:t>2）实时动态更新： 根据经批准的单元规划新编、修编、调整，以及地块实施详细规划的入库情况，对“一张图”数据进行更新，确保平台数据与审批状态一致。</w:t>
            </w:r>
          </w:p>
          <w:p>
            <w:pPr>
              <w:pStyle w:val="null3"/>
            </w:pPr>
            <w:r>
              <w:rPr>
                <w:rFonts w:ascii="仿宋_GB2312" w:hAnsi="仿宋_GB2312" w:cs="仿宋_GB2312" w:eastAsia="仿宋_GB2312"/>
              </w:rPr>
              <w:t>（</w:t>
            </w:r>
            <w:r>
              <w:rPr>
                <w:rFonts w:ascii="仿宋_GB2312" w:hAnsi="仿宋_GB2312" w:cs="仿宋_GB2312" w:eastAsia="仿宋_GB2312"/>
              </w:rPr>
              <w:t>3）全流程在线管理： 配合采购人逐步完善详细规划的全流程在线闭环管理机制，提供相应的技术支持和流程优化建议。</w:t>
            </w:r>
          </w:p>
          <w:p>
            <w:pPr>
              <w:pStyle w:val="null3"/>
            </w:pPr>
            <w:r>
              <w:rPr>
                <w:rFonts w:ascii="仿宋_GB2312" w:hAnsi="仿宋_GB2312" w:cs="仿宋_GB2312" w:eastAsia="仿宋_GB2312"/>
              </w:rPr>
              <w:t>（四）</w:t>
            </w:r>
            <w:r>
              <w:rPr>
                <w:rFonts w:ascii="仿宋_GB2312" w:hAnsi="仿宋_GB2312" w:cs="仿宋_GB2312" w:eastAsia="仿宋_GB2312"/>
              </w:rPr>
              <w:t>国土空间规划动态维护</w:t>
            </w:r>
          </w:p>
          <w:p>
            <w:pPr>
              <w:pStyle w:val="null3"/>
            </w:pPr>
            <w:r>
              <w:rPr>
                <w:rFonts w:ascii="仿宋_GB2312" w:hAnsi="仿宋_GB2312" w:cs="仿宋_GB2312" w:eastAsia="仿宋_GB2312"/>
              </w:rPr>
              <w:t>1.工作目标： 对区域国土空间规划进行必要的动态维护，保障规划的有效实施和刚性传导。</w:t>
            </w:r>
          </w:p>
          <w:p>
            <w:pPr>
              <w:pStyle w:val="null3"/>
            </w:pPr>
            <w:r>
              <w:rPr>
                <w:rFonts w:ascii="仿宋_GB2312" w:hAnsi="仿宋_GB2312" w:cs="仿宋_GB2312" w:eastAsia="仿宋_GB2312"/>
              </w:rPr>
              <w:t>2.具体任务：</w:t>
            </w:r>
          </w:p>
          <w:p>
            <w:pPr>
              <w:pStyle w:val="null3"/>
            </w:pPr>
            <w:r>
              <w:rPr>
                <w:rFonts w:ascii="仿宋_GB2312" w:hAnsi="仿宋_GB2312" w:cs="仿宋_GB2312" w:eastAsia="仿宋_GB2312"/>
              </w:rPr>
              <w:t>（</w:t>
            </w:r>
            <w:r>
              <w:rPr>
                <w:rFonts w:ascii="仿宋_GB2312" w:hAnsi="仿宋_GB2312" w:cs="仿宋_GB2312" w:eastAsia="仿宋_GB2312"/>
              </w:rPr>
              <w:t>1）实施评估与需求识别： 在年度体检成果基础上，深入分析规划实施中遇到的矛盾与问题，识别需要局部调整或优化的规划内容。</w:t>
            </w:r>
          </w:p>
          <w:p>
            <w:pPr>
              <w:pStyle w:val="null3"/>
            </w:pPr>
            <w:r>
              <w:rPr>
                <w:rFonts w:ascii="仿宋_GB2312" w:hAnsi="仿宋_GB2312" w:cs="仿宋_GB2312" w:eastAsia="仿宋_GB2312"/>
              </w:rPr>
              <w:t>（</w:t>
            </w:r>
            <w:r>
              <w:rPr>
                <w:rFonts w:ascii="仿宋_GB2312" w:hAnsi="仿宋_GB2312" w:cs="仿宋_GB2312" w:eastAsia="仿宋_GB2312"/>
              </w:rPr>
              <w:t>2）调整优化方案编制： 针对识别出的需求，开展补充评估和论证，编制规划动态维护方案。重点内容包括：</w:t>
            </w:r>
          </w:p>
          <w:p>
            <w:pPr>
              <w:pStyle w:val="null3"/>
            </w:pPr>
            <w:r>
              <w:rPr>
                <w:rFonts w:ascii="仿宋_GB2312" w:hAnsi="仿宋_GB2312" w:cs="仿宋_GB2312" w:eastAsia="仿宋_GB2312"/>
              </w:rPr>
              <w:t>（</w:t>
            </w:r>
            <w:r>
              <w:rPr>
                <w:rFonts w:ascii="仿宋_GB2312" w:hAnsi="仿宋_GB2312" w:cs="仿宋_GB2312" w:eastAsia="仿宋_GB2312"/>
              </w:rPr>
              <w:t>3）三条控制线正向优化： 在不突破约束指标、不改变主导功能的前提下，对生态保护红线、永久基本农田、城镇开发边界进行微调、细化和正向优化。</w:t>
            </w:r>
          </w:p>
          <w:p>
            <w:pPr>
              <w:pStyle w:val="null3"/>
            </w:pPr>
            <w:r>
              <w:rPr>
                <w:rFonts w:ascii="仿宋_GB2312" w:hAnsi="仿宋_GB2312" w:cs="仿宋_GB2312" w:eastAsia="仿宋_GB2312"/>
              </w:rPr>
              <w:t>（</w:t>
            </w:r>
            <w:r>
              <w:rPr>
                <w:rFonts w:ascii="仿宋_GB2312" w:hAnsi="仿宋_GB2312" w:cs="仿宋_GB2312" w:eastAsia="仿宋_GB2312"/>
              </w:rPr>
              <w:t>4）关键图层联动更新： 对用地用海分类、规划分区、用途管制等关键图层进行联动分析和一致性处理，确保规划“一张图”的内部逻辑自洽。</w:t>
            </w:r>
          </w:p>
          <w:p>
            <w:pPr>
              <w:pStyle w:val="null3"/>
            </w:pPr>
            <w:r>
              <w:rPr>
                <w:rFonts w:ascii="仿宋_GB2312" w:hAnsi="仿宋_GB2312" w:cs="仿宋_GB2312" w:eastAsia="仿宋_GB2312"/>
              </w:rPr>
              <w:t>（</w:t>
            </w:r>
            <w:r>
              <w:rPr>
                <w:rFonts w:ascii="仿宋_GB2312" w:hAnsi="仿宋_GB2312" w:cs="仿宋_GB2312" w:eastAsia="仿宋_GB2312"/>
              </w:rPr>
              <w:t>5）重点项目清单落实： 根据年度重点建设项目计划，核对并更新“一张图”中的重点建设项目清单和布局，为项目落地提供规划依据。</w:t>
            </w:r>
          </w:p>
          <w:p>
            <w:pPr>
              <w:pStyle w:val="null3"/>
            </w:pPr>
            <w:r>
              <w:rPr>
                <w:rFonts w:ascii="仿宋_GB2312" w:hAnsi="仿宋_GB2312" w:cs="仿宋_GB2312" w:eastAsia="仿宋_GB2312"/>
              </w:rPr>
              <w:t>（</w:t>
            </w:r>
            <w:r>
              <w:rPr>
                <w:rFonts w:ascii="仿宋_GB2312" w:hAnsi="仿宋_GB2312" w:cs="仿宋_GB2312" w:eastAsia="仿宋_GB2312"/>
              </w:rPr>
              <w:t>6）报批与入库： 编制完整的规划实施评估报告和动态维护方案，按程序逐级上报审查。方案经批准后，协助完成数据成果的逐级汇交，并纳入国土空间规划“一张图”系统，作为规划管理和用途管制的法定依据。</w:t>
            </w:r>
          </w:p>
          <w:p>
            <w:pPr>
              <w:pStyle w:val="null3"/>
            </w:pPr>
            <w:r>
              <w:rPr>
                <w:rFonts w:ascii="仿宋_GB2312" w:hAnsi="仿宋_GB2312" w:cs="仿宋_GB2312" w:eastAsia="仿宋_GB2312"/>
              </w:rPr>
              <w:t>（五）</w:t>
            </w:r>
            <w:r>
              <w:rPr>
                <w:rFonts w:ascii="仿宋_GB2312" w:hAnsi="仿宋_GB2312" w:cs="仿宋_GB2312" w:eastAsia="仿宋_GB2312"/>
              </w:rPr>
              <w:t>信息数据加工处理、规划咨询及信息技术咨询服务</w:t>
            </w:r>
          </w:p>
          <w:p>
            <w:pPr>
              <w:pStyle w:val="null3"/>
            </w:pPr>
            <w:r>
              <w:rPr>
                <w:rFonts w:ascii="仿宋_GB2312" w:hAnsi="仿宋_GB2312" w:cs="仿宋_GB2312" w:eastAsia="仿宋_GB2312"/>
              </w:rPr>
              <w:t xml:space="preserve">1.工作目标： </w:t>
            </w:r>
          </w:p>
          <w:p>
            <w:pPr>
              <w:pStyle w:val="null3"/>
            </w:pPr>
            <w:r>
              <w:rPr>
                <w:rFonts w:ascii="仿宋_GB2312" w:hAnsi="仿宋_GB2312" w:cs="仿宋_GB2312" w:eastAsia="仿宋_GB2312"/>
              </w:rPr>
              <w:t>为上述各项规划与土地管理工作提供及时、精准、高质量的规划顾问咨询、信息数据加工和技术支持服务。</w:t>
            </w:r>
          </w:p>
          <w:p>
            <w:pPr>
              <w:pStyle w:val="null3"/>
            </w:pPr>
            <w:r>
              <w:rPr>
                <w:rFonts w:ascii="仿宋_GB2312" w:hAnsi="仿宋_GB2312" w:cs="仿宋_GB2312" w:eastAsia="仿宋_GB2312"/>
              </w:rPr>
              <w:t>2.具体任务：</w:t>
            </w:r>
          </w:p>
          <w:p>
            <w:pPr>
              <w:pStyle w:val="null3"/>
            </w:pPr>
            <w:r>
              <w:rPr>
                <w:rFonts w:ascii="仿宋_GB2312" w:hAnsi="仿宋_GB2312" w:cs="仿宋_GB2312" w:eastAsia="仿宋_GB2312"/>
              </w:rPr>
              <w:t>（</w:t>
            </w:r>
            <w:r>
              <w:rPr>
                <w:rFonts w:ascii="仿宋_GB2312" w:hAnsi="仿宋_GB2312" w:cs="仿宋_GB2312" w:eastAsia="仿宋_GB2312"/>
              </w:rPr>
              <w:t>1）信息数据加工处理（信息加工服务）：包括各类规划数据的标准化、数字化、空间化处理与建库。遥感影像、地形图、地籍图等基础地理信息的加工与制作。根据业务需求，制作专题数据报告、统计分析图表、工作底图、汇报演示文件等。数据成果的质量检查、格式转换等。</w:t>
            </w:r>
          </w:p>
          <w:p>
            <w:pPr>
              <w:pStyle w:val="null3"/>
            </w:pPr>
            <w:r>
              <w:rPr>
                <w:rFonts w:ascii="仿宋_GB2312" w:hAnsi="仿宋_GB2312" w:cs="仿宋_GB2312" w:eastAsia="仿宋_GB2312"/>
              </w:rPr>
              <w:t>（</w:t>
            </w:r>
            <w:r>
              <w:rPr>
                <w:rFonts w:ascii="仿宋_GB2312" w:hAnsi="仿宋_GB2312" w:cs="仿宋_GB2312" w:eastAsia="仿宋_GB2312"/>
              </w:rPr>
              <w:t>2）信息技术咨询服务：</w:t>
            </w:r>
          </w:p>
          <w:p>
            <w:pPr>
              <w:pStyle w:val="null3"/>
            </w:pPr>
            <w:r>
              <w:rPr>
                <w:rFonts w:ascii="仿宋_GB2312" w:hAnsi="仿宋_GB2312" w:cs="仿宋_GB2312" w:eastAsia="仿宋_GB2312"/>
              </w:rPr>
              <w:t>专题分析报告：</w:t>
            </w:r>
            <w:r>
              <w:rPr>
                <w:rFonts w:ascii="仿宋_GB2312" w:hAnsi="仿宋_GB2312" w:cs="仿宋_GB2312" w:eastAsia="仿宋_GB2312"/>
              </w:rPr>
              <w:t xml:space="preserve"> 针对城市发展、土地市场、产业布局、公共服务设施等特定主题，基于多源数据（如规划数据、调查数据、社会经济数据）开展数据挖掘和分析，形成具有决策参考价值的分析报告。</w:t>
            </w:r>
          </w:p>
          <w:p>
            <w:pPr>
              <w:pStyle w:val="null3"/>
            </w:pPr>
            <w:r>
              <w:rPr>
                <w:rFonts w:ascii="仿宋_GB2312" w:hAnsi="仿宋_GB2312" w:cs="仿宋_GB2312" w:eastAsia="仿宋_GB2312"/>
              </w:rPr>
              <w:t>智慧规划</w:t>
            </w:r>
            <w:r>
              <w:rPr>
                <w:rFonts w:ascii="仿宋_GB2312" w:hAnsi="仿宋_GB2312" w:cs="仿宋_GB2312" w:eastAsia="仿宋_GB2312"/>
              </w:rPr>
              <w:t>/智慧城市支撑： 参与智慧城市、CIM（城市信息模型）平台等相关项目中涉及规划数据的方案设计、数据接口规范、应用场景研究等提供专业技术咨询。</w:t>
            </w:r>
          </w:p>
          <w:p>
            <w:pPr>
              <w:pStyle w:val="null3"/>
            </w:pPr>
            <w:r>
              <w:rPr>
                <w:rFonts w:ascii="仿宋_GB2312" w:hAnsi="仿宋_GB2312" w:cs="仿宋_GB2312" w:eastAsia="仿宋_GB2312"/>
              </w:rPr>
              <w:t>管理流程设计咨询：</w:t>
            </w:r>
            <w:r>
              <w:rPr>
                <w:rFonts w:ascii="仿宋_GB2312" w:hAnsi="仿宋_GB2312" w:cs="仿宋_GB2312" w:eastAsia="仿宋_GB2312"/>
              </w:rPr>
              <w:t xml:space="preserve"> 利用信息技术手段，对现有规划管理、土地管理业务流程进行优化设计，提出数字化解决方案建议。</w:t>
            </w:r>
          </w:p>
          <w:p>
            <w:pPr>
              <w:pStyle w:val="null3"/>
            </w:pPr>
            <w:r>
              <w:rPr>
                <w:rFonts w:ascii="仿宋_GB2312" w:hAnsi="仿宋_GB2312" w:cs="仿宋_GB2312" w:eastAsia="仿宋_GB2312"/>
              </w:rPr>
              <w:t>（六）规划研究论证报告</w:t>
            </w:r>
          </w:p>
          <w:p>
            <w:pPr>
              <w:pStyle w:val="null3"/>
            </w:pPr>
            <w:r>
              <w:rPr>
                <w:rFonts w:ascii="仿宋_GB2312" w:hAnsi="仿宋_GB2312" w:cs="仿宋_GB2312" w:eastAsia="仿宋_GB2312"/>
              </w:rPr>
              <w:t>（</w:t>
            </w:r>
            <w:r>
              <w:rPr>
                <w:rFonts w:ascii="仿宋_GB2312" w:hAnsi="仿宋_GB2312" w:cs="仿宋_GB2312" w:eastAsia="仿宋_GB2312"/>
              </w:rPr>
              <w:t>1）用地研究论证服务：结合项目成本核算，周边现状建设等内容，对项目用地优化进行可行性论证；</w:t>
            </w:r>
          </w:p>
          <w:p>
            <w:pPr>
              <w:pStyle w:val="null3"/>
            </w:pPr>
            <w:r>
              <w:rPr>
                <w:rFonts w:ascii="仿宋_GB2312" w:hAnsi="仿宋_GB2312" w:cs="仿宋_GB2312" w:eastAsia="仿宋_GB2312"/>
              </w:rPr>
              <w:t>（</w:t>
            </w:r>
            <w:r>
              <w:rPr>
                <w:rFonts w:ascii="仿宋_GB2312" w:hAnsi="仿宋_GB2312" w:cs="仿宋_GB2312" w:eastAsia="仿宋_GB2312"/>
              </w:rPr>
              <w:t>2）规划指标论证服务：结合项目成本核算，周边现状建设等内容，对项目用地优化进行可行性论证；</w:t>
            </w:r>
          </w:p>
          <w:p>
            <w:pPr>
              <w:pStyle w:val="null3"/>
            </w:pPr>
            <w:r>
              <w:rPr>
                <w:rFonts w:ascii="仿宋_GB2312" w:hAnsi="仿宋_GB2312" w:cs="仿宋_GB2312" w:eastAsia="仿宋_GB2312"/>
              </w:rPr>
              <w:t>（</w:t>
            </w:r>
            <w:r>
              <w:rPr>
                <w:rFonts w:ascii="仿宋_GB2312" w:hAnsi="仿宋_GB2312" w:cs="仿宋_GB2312" w:eastAsia="仿宋_GB2312"/>
              </w:rPr>
              <w:t>3）现状评估论证服务：包含现状建成、历史遗留项目的评估，城市更新项目的评估。</w:t>
            </w:r>
          </w:p>
          <w:p>
            <w:pPr>
              <w:pStyle w:val="null3"/>
            </w:pPr>
            <w:r>
              <w:rPr>
                <w:rFonts w:ascii="仿宋_GB2312" w:hAnsi="仿宋_GB2312" w:cs="仿宋_GB2312" w:eastAsia="仿宋_GB2312"/>
                <w:b/>
              </w:rPr>
              <w:t>三、</w:t>
            </w:r>
            <w:r>
              <w:rPr>
                <w:rFonts w:ascii="仿宋_GB2312" w:hAnsi="仿宋_GB2312" w:cs="仿宋_GB2312" w:eastAsia="仿宋_GB2312"/>
                <w:b/>
              </w:rPr>
              <w:t>成果要求</w:t>
            </w:r>
          </w:p>
          <w:p>
            <w:pPr>
              <w:pStyle w:val="null3"/>
            </w:pPr>
            <w:r>
              <w:rPr>
                <w:rFonts w:ascii="仿宋_GB2312" w:hAnsi="仿宋_GB2312" w:cs="仿宋_GB2312" w:eastAsia="仿宋_GB2312"/>
              </w:rPr>
              <w:t>1、</w:t>
            </w:r>
            <w:r>
              <w:rPr>
                <w:rFonts w:ascii="仿宋_GB2312" w:hAnsi="仿宋_GB2312" w:cs="仿宋_GB2312" w:eastAsia="仿宋_GB2312"/>
              </w:rPr>
              <w:t>所有成果必须符合国家、省、市相关法律法规、技术规范和标准的要求。</w:t>
            </w:r>
          </w:p>
          <w:p>
            <w:pPr>
              <w:pStyle w:val="null3"/>
            </w:pPr>
            <w:r>
              <w:rPr>
                <w:rFonts w:ascii="仿宋_GB2312" w:hAnsi="仿宋_GB2312" w:cs="仿宋_GB2312" w:eastAsia="仿宋_GB2312"/>
              </w:rPr>
              <w:t>2、</w:t>
            </w:r>
            <w:r>
              <w:rPr>
                <w:rFonts w:ascii="仿宋_GB2312" w:hAnsi="仿宋_GB2312" w:cs="仿宋_GB2312" w:eastAsia="仿宋_GB2312"/>
              </w:rPr>
              <w:t>空间数据成果必须符合采购人规定的数据标准、格式和入库要求，并能无缝接入国土空间规划</w:t>
            </w:r>
            <w:r>
              <w:rPr>
                <w:rFonts w:ascii="仿宋_GB2312" w:hAnsi="仿宋_GB2312" w:cs="仿宋_GB2312" w:eastAsia="仿宋_GB2312"/>
              </w:rPr>
              <w:t>“一张图”系统。</w:t>
            </w:r>
          </w:p>
          <w:p>
            <w:pPr>
              <w:pStyle w:val="null3"/>
            </w:pPr>
            <w:r>
              <w:rPr>
                <w:rFonts w:ascii="仿宋_GB2312" w:hAnsi="仿宋_GB2312" w:cs="仿宋_GB2312" w:eastAsia="仿宋_GB2312"/>
              </w:rPr>
              <w:t>3、</w:t>
            </w:r>
            <w:r>
              <w:rPr>
                <w:rFonts w:ascii="仿宋_GB2312" w:hAnsi="仿宋_GB2312" w:cs="仿宋_GB2312" w:eastAsia="仿宋_GB2312"/>
              </w:rPr>
              <w:t>提交的成果应包括纸质文档和电子文件。</w:t>
            </w:r>
            <w:r>
              <w:rPr>
                <w:rFonts w:ascii="仿宋_GB2312" w:hAnsi="仿宋_GB2312" w:cs="仿宋_GB2312" w:eastAsia="仿宋_GB2312"/>
              </w:rPr>
              <w:t>成果的知识产权归采购人所有，技术服务团队须对工作中接触到的所有数据和信息承担保密责任。</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满足招标文件及采购人要求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满足招标文件及采购人要求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1.满足国家、省、市相关标准、规范以及招标人要求。2.按照招标文件及所签订的合同内容执行。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(一)根据国家计委 (计价格[2001]1218号) 文规定，参考中国城市规划协会《城市规划设计计费指导意见》(2004年)中规协秘字第022号文件、《城乡规划设计计费指导意见（2017版征求意见稿）》、《西安市城镇开发边界内五大片区详细规划编制计费指引(试行)》（市资源发〔2024〕120号）、《西安市加强国土空间详细规划、实施详细规划、宗地规划许可和“规土评让”一体化组织管理及相关规划计费指引（试行）》（市资源发〔2025〕127号）、国家发展和改革委员会《建设项目前期工作咨询收费暂行规定》（计价格[1999]1283号）及其他相关文件的基础上，依据中标单位所填报的下浮率据实结算，甲方每笔业务发生时签订《业务委托单》； (二) 乙方提交的成果经甲方确认合格后，达到付款条件起10个工作日内，甲方应一次性结清相应业务的全部设计费用； (三) 甲方每次支付上述费用前，由乙方提供甲方财务认可的正式税务发票或票据</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1、违约责任按《中华人民共和国民法典》处理中的相关条款执行。 2、未按合同要求提供服务或服务质量不能满足本次采购要求，甲方会同监督机构有权终止合同和对乙方违约行为进行追究，同时按照《中华人民共和国政府采购法》的有关规定进行相应的处罚。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3.5.1中标单位应向代理机构提交纸质投标文件正本壹份、副本贰份、电子版壹份（U盘壹份，电子版文件需为上传至系统后签字盖章的PDF版文件）。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1.资格证明文件.docx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1.资格证明文件.docx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投标文件封面 1.资格证明文件.docx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完整财务报告（成立时间至提交响应文件截止时间不足一年的可提供成立后任意时段的资产负债表）；或其开标前三个月内基本存款账户开户银行出具的资信证明及基本存款账户开户许可证（基本存款账户信息）。</w:t>
            </w:r>
          </w:p>
        </w:tc>
        <w:tc>
          <w:tcPr>
            <w:tcW w:type="dxa" w:w="1661"/>
          </w:tcPr>
          <w:p>
            <w:pPr>
              <w:pStyle w:val="null3"/>
            </w:pPr>
            <w:r>
              <w:rPr>
                <w:rFonts w:ascii="仿宋_GB2312" w:hAnsi="仿宋_GB2312" w:cs="仿宋_GB2312" w:eastAsia="仿宋_GB2312"/>
              </w:rPr>
              <w:t>1.资格证明文件.docx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提供2025年10月至今任意一个月的社会保障资金缴存单据或社保机构开具的社会保险参保缴费情况证明，依法不需要缴纳社会保障资金的单位应提供相关证明材料。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1.资格证明文件.docx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提供2025年10月至今任意一个月的纳税证明或完税证明（时间以税款所属日期为准)，依法免税的单位应提供相关证明材料。</w:t>
            </w:r>
          </w:p>
        </w:tc>
        <w:tc>
          <w:tcPr>
            <w:tcW w:type="dxa" w:w="1661"/>
          </w:tcPr>
          <w:p>
            <w:pPr>
              <w:pStyle w:val="null3"/>
            </w:pPr>
            <w:r>
              <w:rPr>
                <w:rFonts w:ascii="仿宋_GB2312" w:hAnsi="仿宋_GB2312" w:cs="仿宋_GB2312" w:eastAsia="仿宋_GB2312"/>
              </w:rPr>
              <w:t>1.资格证明文件.docx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1.资格证明文件.docx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具备履行合同所必须的设备和专业技术能力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提供具有履行合同所必需的设备和专业技术能力的书面声明。</w:t>
            </w:r>
          </w:p>
        </w:tc>
        <w:tc>
          <w:tcPr>
            <w:tcW w:type="dxa" w:w="1661"/>
          </w:tcPr>
          <w:p>
            <w:pPr>
              <w:pStyle w:val="null3"/>
            </w:pPr>
            <w:r>
              <w:rPr>
                <w:rFonts w:ascii="仿宋_GB2312" w:hAnsi="仿宋_GB2312" w:cs="仿宋_GB2312" w:eastAsia="仿宋_GB2312"/>
              </w:rPr>
              <w:t>1.资格证明文件.docx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投标人须具备城乡规划编制乙级及以上资质（含乙级）。</w:t>
            </w:r>
          </w:p>
        </w:tc>
        <w:tc>
          <w:tcPr>
            <w:tcW w:type="dxa" w:w="1661"/>
          </w:tcPr>
          <w:p>
            <w:pPr>
              <w:pStyle w:val="null3"/>
            </w:pPr>
            <w:r>
              <w:rPr>
                <w:rFonts w:ascii="仿宋_GB2312" w:hAnsi="仿宋_GB2312" w:cs="仿宋_GB2312" w:eastAsia="仿宋_GB2312"/>
              </w:rPr>
              <w:t>1.资格证明文件.docx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未被列入信用中国网站(www.creditchina.gov.cn)“失信被执行人”（页面跳转至“中国执行信息公开网”http://zxgk.court.gov.cn/shixin/）和“重大税收违法失信主体名单”；不得为中国政府采购网(http://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1.资格证明文件.docx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及身份证扫描件；法定代表人授权代表参加投标的，须出具法定代表人授权委托书、授权代表身份证扫描件及被授权人投标前三个月内任意一个月的社会保障资金缴纳证明。</w:t>
            </w:r>
          </w:p>
        </w:tc>
        <w:tc>
          <w:tcPr>
            <w:tcW w:type="dxa" w:w="1661"/>
          </w:tcPr>
          <w:p>
            <w:pPr>
              <w:pStyle w:val="null3"/>
            </w:pPr>
            <w:r>
              <w:rPr>
                <w:rFonts w:ascii="仿宋_GB2312" w:hAnsi="仿宋_GB2312" w:cs="仿宋_GB2312" w:eastAsia="仿宋_GB2312"/>
              </w:rPr>
              <w:t>1.资格证明文件.docx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1.资格证明文件.docx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按照招标文件要求的格式编写投标文件。</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报价唯一，且未超出本项目采购预算及最高限价。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投标文件的签署、盖章符合招标文件要求。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响应招标文件要求。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响应招标文件要求。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无招标文件中规定的无效情形。</w:t>
            </w:r>
          </w:p>
        </w:tc>
        <w:tc>
          <w:tcPr>
            <w:tcW w:type="dxa" w:w="1661"/>
          </w:tcPr>
          <w:p>
            <w:pPr>
              <w:pStyle w:val="null3"/>
            </w:pPr>
            <w:r>
              <w:rPr>
                <w:rFonts w:ascii="仿宋_GB2312" w:hAnsi="仿宋_GB2312" w:cs="仿宋_GB2312" w:eastAsia="仿宋_GB2312"/>
              </w:rPr>
              <w:t>4.投标人认为有必要补充说明的事项.docx 投标文件封面 2.投标报价一览表附表.docx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投标人针对本项目提供项目理解方案。内容至少包括：①对相关政策解读和基本情况分析②对项目背景的研判③专业资料的搜集与内容梳理④实地调研与考察方案⑤对发展现状认识等。 以上要求的内容均有描述且符合本项目实际需求的得20分。每缺一项内容扣4分，每有一项要求的方案内容有一处缺陷的扣1分(缺陷是指：对同一问题前后表述矛盾的，或逻辑错误的，或缺少关键节点，或涉及的规范及标准错误，或表述内容不完整，或不利于项目实施、不可能实现的情形等任意一种情形)，扣完为止；本项内容不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总体工作方案</w:t>
            </w:r>
          </w:p>
        </w:tc>
        <w:tc>
          <w:tcPr>
            <w:tcW w:type="dxa" w:w="2492"/>
          </w:tcPr>
          <w:p>
            <w:pPr>
              <w:pStyle w:val="null3"/>
            </w:pPr>
            <w:r>
              <w:rPr>
                <w:rFonts w:ascii="仿宋_GB2312" w:hAnsi="仿宋_GB2312" w:cs="仿宋_GB2312" w:eastAsia="仿宋_GB2312"/>
              </w:rPr>
              <w:t>投标人根据本项目提供总体工作方案。内容至少包括：①开展现状评估方案②总体工作思路③总体工作计划④具体工作目标及内容。 以上要求的内容均有描述且符合本项目实际需求的得16分。每缺一项内容扣4分，每有一项要求的方案内容有一处缺陷的扣1分(缺陷是指：对同一问题前后表述矛盾的，或逻辑错误的，或缺少关键节点，或涉及的规范及标准错误，或表述内容不完整，或不利于项目实施、不可能实现的情形等任意一种情形)，扣完为止；本项内容不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项目重点、难点分析及应对措施</w:t>
            </w:r>
          </w:p>
        </w:tc>
        <w:tc>
          <w:tcPr>
            <w:tcW w:type="dxa" w:w="2492"/>
          </w:tcPr>
          <w:p>
            <w:pPr>
              <w:pStyle w:val="null3"/>
            </w:pPr>
            <w:r>
              <w:rPr>
                <w:rFonts w:ascii="仿宋_GB2312" w:hAnsi="仿宋_GB2312" w:cs="仿宋_GB2312" w:eastAsia="仿宋_GB2312"/>
              </w:rPr>
              <w:t>投标人针对本项目服务的重点和难点的认识及分析并提供完善、合理的应对措施。内容至少包括： ①识别项目重点、难点 ②提出工作思路 ③结合重难点提出完善、合理且具有针对性应对措施。 以上要求的内容均有描述且符合本项目实际需求的得9分。每缺一项内容扣3分，每有一项要求的方案内容有一处缺陷的扣0.5分(缺陷是指：对同一问题前后表述矛盾的，或逻辑错误的，或缺少关键节点，或涉及的规范及标准错误，或表述内容不完整，或不利于项目实施、不可能实现的情形等任意一种情形)，扣完为止；本项内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进度计划及保障措施</w:t>
            </w:r>
          </w:p>
        </w:tc>
        <w:tc>
          <w:tcPr>
            <w:tcW w:type="dxa" w:w="2492"/>
          </w:tcPr>
          <w:p>
            <w:pPr>
              <w:pStyle w:val="null3"/>
            </w:pPr>
            <w:r>
              <w:rPr>
                <w:rFonts w:ascii="仿宋_GB2312" w:hAnsi="仿宋_GB2312" w:cs="仿宋_GB2312" w:eastAsia="仿宋_GB2312"/>
              </w:rPr>
              <w:t>投标人针对本项目提供相关的进度计划及保障措施方案。内容至少包括：①项目实施进度目标分析②提供合理的工作计划及时间节点③项目进度保障措施④突发状况应急预案。 以上要求的内容均有描述且符合本项目实际需求的得12分。每缺一项内容扣3分，每有一项要求的方案内容有一处缺陷的扣1分(缺陷是指：对同一问题前后表述矛盾的，或逻辑错误的，或缺少关键节点，或涉及的规范及标准错误，或表述内容不完整，或不利于项目实施、不可能实现的情形等任意一种情形)，扣完为止；本项内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项目负责人具有城市（或城乡）规划专业高级工程师及以上职称或国家注册城市（或城乡）规划师资格得4分，未提供或提供不齐全不得分。 注：以上人员需为本单位人员，评审时以提供近三个月的社保缴纳证明、人员身份证、毕业证、职称证、资格证书等证明材料复印件加盖投标人公章为依据。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除项目负责人外，项目团队人员具备本项目所需相关专业（城市（城乡）规划、城市交通、给排水工程和市政工程等相关专业）高级职称的每个计2分，中级职称的每个计1分，其他不得分，满分8分。 注：以上人员需为本单位人员，评审时以提供近三个月的社保缴纳证明、人员身份证、毕业证、职称证、资格证书等证明材料复印件加盖投标人公章为依据。</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成果交付措施</w:t>
            </w:r>
          </w:p>
        </w:tc>
        <w:tc>
          <w:tcPr>
            <w:tcW w:type="dxa" w:w="2492"/>
          </w:tcPr>
          <w:p>
            <w:pPr>
              <w:pStyle w:val="null3"/>
            </w:pPr>
            <w:r>
              <w:rPr>
                <w:rFonts w:ascii="仿宋_GB2312" w:hAnsi="仿宋_GB2312" w:cs="仿宋_GB2312" w:eastAsia="仿宋_GB2312"/>
              </w:rPr>
              <w:t>投标人提供针对本项目提供成果交付措施。内容至少包括：①成果文件编制的重点问题分析②成果文件的审批流程③成果文件编制的法律法规和技术标准④成果文件编制时间控制。 以上要求的内容均有描述且符合本项目实际需求的得8分。每缺一项内容扣2分，每有一项要求的方案内容有一处缺陷的扣1分(缺陷是指：对同一问题前后表述矛盾的，或逻辑错误的，或缺少关键节点，或涉及的规范及标准错误，或表述内容不完整，或不利于项目实施、不可能实现的情形等任意一种情形)，扣完为止；本项内容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保密工作方案</w:t>
            </w:r>
          </w:p>
        </w:tc>
        <w:tc>
          <w:tcPr>
            <w:tcW w:type="dxa" w:w="2492"/>
          </w:tcPr>
          <w:p>
            <w:pPr>
              <w:pStyle w:val="null3"/>
            </w:pPr>
            <w:r>
              <w:rPr>
                <w:rFonts w:ascii="仿宋_GB2312" w:hAnsi="仿宋_GB2312" w:cs="仿宋_GB2312" w:eastAsia="仿宋_GB2312"/>
              </w:rPr>
              <w:t>投标人针对本项目提供安全保密工作承诺及方案。内容至少包括：①保密制度及承诺②保密措施③廉洁从业的承诺。 以上要求的内容均有描述且符合本项目实际需求的得3分。每缺一项内容扣1分，每有一项要求的方案内容有一处缺陷的扣0.5分(缺陷是指：对同一问题前后表述矛盾的，或逻辑错误的，或缺少关键节点，或涉及的规范及标准错误，或表述内容不完整，或不利于项目实施、不可能实现的情形等任意一种情形)，扣完为止；本项内容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内容至少包括：①本次规划与西安市国土空间总体规划衔接工作方案②承诺负责地块所有审查或报批环节的协调汇报等工作③积极配合采购人服务要求④未能完全履行承诺时愿意接受相关处罚的承诺。 以上要求的内容均有描述且符合本项目实际需求的得4分。每缺一项内容扣1分，每有一项要求的方案内容有一处缺陷的扣0.5分(缺陷是指：对同一问题前后表述矛盾的，或逻辑错误的，或缺少关键节点，或涉及的规范及标准错误，或表述内容不完整，或不利于项目实施、不可能实现的情形等任意一种情形)，扣完为止；本项内容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投标人提供2023年1月1日至今类似项目业绩合同（以合同签订时间为准）；每提供一项业绩得2分，最高得6分。 以加盖投标人公章的合同复印件或扫描件为准，应至少包含合同关键页，合同上必须明确体现签订时间。</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1.经资格审查、符合性审查合格的投标文件，其投标总报价为有效报价，参与价格评审。 2.投标总报价得分：满足招标文件要求且最低的投标总报价为评标基准价，其价格分为满分。 价格分按照下列公式计算：投标总报价得分=（评标基准价/投标总报价）×10%×100。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详见附件：1.资格证明文件.docx</w:t>
      </w:r>
    </w:p>
    <w:p>
      <w:pPr>
        <w:pStyle w:val="null3"/>
        <w:ind w:firstLine="960"/>
      </w:pPr>
      <w:r>
        <w:rPr>
          <w:rFonts w:ascii="仿宋_GB2312" w:hAnsi="仿宋_GB2312" w:cs="仿宋_GB2312" w:eastAsia="仿宋_GB2312"/>
        </w:rPr>
        <w:t>详见附件：2.投标报价一览表附表.docx</w:t>
      </w:r>
    </w:p>
    <w:p>
      <w:pPr>
        <w:pStyle w:val="null3"/>
        <w:ind w:firstLine="960"/>
      </w:pPr>
      <w:r>
        <w:rPr>
          <w:rFonts w:ascii="仿宋_GB2312" w:hAnsi="仿宋_GB2312" w:cs="仿宋_GB2312" w:eastAsia="仿宋_GB2312"/>
        </w:rPr>
        <w:t>详见附件：3.类似项目业绩一览表.docx</w:t>
      </w:r>
    </w:p>
    <w:p>
      <w:pPr>
        <w:pStyle w:val="null3"/>
        <w:ind w:firstLine="960"/>
      </w:pPr>
      <w:r>
        <w:rPr>
          <w:rFonts w:ascii="仿宋_GB2312" w:hAnsi="仿宋_GB2312" w:cs="仿宋_GB2312" w:eastAsia="仿宋_GB2312"/>
        </w:rPr>
        <w:t>详见附件：4.投标人认为有必要补充说明的事项.docx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