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BB659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投标报价一览表附表</w:t>
      </w:r>
    </w:p>
    <w:p w14:paraId="367EB2EF">
      <w:pPr>
        <w:spacing w:line="360" w:lineRule="auto"/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项目名称：</w:t>
      </w:r>
    </w:p>
    <w:p w14:paraId="7CD145F0">
      <w:pPr>
        <w:spacing w:line="360" w:lineRule="auto"/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项目编号：</w:t>
      </w:r>
    </w:p>
    <w:tbl>
      <w:tblPr>
        <w:tblStyle w:val="4"/>
        <w:tblW w:w="573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3539"/>
        <w:gridCol w:w="3541"/>
      </w:tblGrid>
      <w:tr w14:paraId="147261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  <w:jc w:val="center"/>
        </w:trPr>
        <w:tc>
          <w:tcPr>
            <w:tcW w:w="13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  <w:noWrap w:val="0"/>
            <w:vAlign w:val="top"/>
          </w:tcPr>
          <w:p w14:paraId="595F118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1260" w:firstLineChars="6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zh-CN"/>
              </w:rPr>
              <w:t>报价内容</w:t>
            </w:r>
          </w:p>
          <w:p w14:paraId="000F2507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76724C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zh-CN"/>
              </w:rPr>
              <w:t>投标内容</w:t>
            </w:r>
          </w:p>
        </w:tc>
        <w:tc>
          <w:tcPr>
            <w:tcW w:w="18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F853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投标报价</w:t>
            </w:r>
          </w:p>
          <w:p w14:paraId="04540D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下浮率（%）</w:t>
            </w:r>
          </w:p>
        </w:tc>
        <w:tc>
          <w:tcPr>
            <w:tcW w:w="18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3DD6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备注</w:t>
            </w:r>
          </w:p>
        </w:tc>
      </w:tr>
      <w:tr w14:paraId="11463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  <w:jc w:val="center"/>
        </w:trPr>
        <w:tc>
          <w:tcPr>
            <w:tcW w:w="13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F76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he-IL"/>
              </w:rPr>
              <w:t>年度土地整备专项与征储供计划、 地块实施详细规划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he-IL"/>
              </w:rPr>
              <w:t>及规土评让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he-IL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he-IL"/>
              </w:rPr>
              <w:t>单元详细规划优化调整、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he-IL"/>
              </w:rPr>
              <w:t>国土空间规划动态维护、信息数据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he-IL"/>
              </w:rPr>
              <w:t>加工处理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he-IL"/>
              </w:rPr>
              <w:t>、规划咨询及信息技术咨询服务</w:t>
            </w:r>
          </w:p>
        </w:tc>
        <w:tc>
          <w:tcPr>
            <w:tcW w:w="18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F0D57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213D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he-IL"/>
              </w:rPr>
              <w:t>依据中国城市规划协会《城市规划设计计费指导意见》（2004年6月）、《城乡规划设计计费指导意见（2017版征求意见稿）》、《西安市城镇开发边界内五大片区详细规划编制计费指引(试行)》（市资源发〔2024〕120号）、《西安市加强国土空间详细规划、实施详细规划、宗地规划许可和“规土评让”一体化组织管理及相关规划计费指引（试行）》（市资源发〔2025〕127号）等行业标准及政府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he-IL"/>
              </w:rPr>
              <w:t>进行报价，依据下浮率据实结算。</w:t>
            </w:r>
          </w:p>
        </w:tc>
      </w:tr>
      <w:tr w14:paraId="28547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  <w:jc w:val="center"/>
        </w:trPr>
        <w:tc>
          <w:tcPr>
            <w:tcW w:w="13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7AF28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he-IL"/>
              </w:rPr>
              <w:t>用地布局研究报告、规划用地研究报告、规划指标论证研究报告、现状评估论证报告</w:t>
            </w:r>
          </w:p>
        </w:tc>
        <w:tc>
          <w:tcPr>
            <w:tcW w:w="18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58173A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noWrap w:val="0"/>
            <w:vAlign w:val="center"/>
          </w:tcPr>
          <w:p w14:paraId="7970AE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参考国家发展和改革委员会《建设项目前期工作咨询收费暂行规定》（计价格[1999]1283号）、《城乡规划设计计费指导意见（2017版征求意见稿）》进行报价，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he-IL"/>
              </w:rPr>
              <w:t>依据下浮率据实结算。</w:t>
            </w:r>
          </w:p>
        </w:tc>
      </w:tr>
    </w:tbl>
    <w:p w14:paraId="1C137689">
      <w:pPr>
        <w:keepNext w:val="0"/>
        <w:keepLines w:val="0"/>
        <w:pageBreakBefore w:val="0"/>
        <w:kinsoku/>
        <w:bidi w:val="0"/>
        <w:spacing w:line="360" w:lineRule="auto"/>
        <w:ind w:firstLine="630"/>
        <w:jc w:val="righ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FE1744E">
      <w:pPr>
        <w:keepNext w:val="0"/>
        <w:keepLines w:val="0"/>
        <w:pageBreakBefore w:val="0"/>
        <w:kinsoku/>
        <w:bidi w:val="0"/>
        <w:spacing w:line="360" w:lineRule="auto"/>
        <w:ind w:firstLine="630"/>
        <w:jc w:val="righ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13B94FF1">
      <w:pPr>
        <w:keepNext w:val="0"/>
        <w:keepLines w:val="0"/>
        <w:pageBreakBefore w:val="0"/>
        <w:kinsoku/>
        <w:bidi w:val="0"/>
        <w:spacing w:line="360" w:lineRule="auto"/>
        <w:ind w:firstLine="630"/>
        <w:jc w:val="righ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投标单位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加盖单位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公章）</w:t>
      </w:r>
    </w:p>
    <w:p w14:paraId="7DC9BA6C">
      <w:pPr>
        <w:keepNext w:val="0"/>
        <w:keepLines w:val="0"/>
        <w:pageBreakBefore w:val="0"/>
        <w:kinsoku/>
        <w:bidi w:val="0"/>
        <w:spacing w:line="360" w:lineRule="auto"/>
        <w:ind w:firstLine="630"/>
        <w:jc w:val="righ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法定代表人：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/>
        </w:rPr>
        <w:t>签字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或盖章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</w:p>
    <w:p w14:paraId="7F27759B">
      <w:pPr>
        <w:keepNext w:val="0"/>
        <w:keepLines w:val="0"/>
        <w:pageBreakBefore w:val="0"/>
        <w:kinsoku/>
        <w:bidi w:val="0"/>
        <w:spacing w:line="360" w:lineRule="auto"/>
        <w:ind w:firstLine="2400" w:firstLineChars="10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    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</w:t>
      </w:r>
    </w:p>
    <w:p w14:paraId="7CB45C8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 w:bidi="he-IL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F481F"/>
    <w:rsid w:val="13CF5356"/>
    <w:rsid w:val="260467A1"/>
    <w:rsid w:val="3CE27C0D"/>
    <w:rsid w:val="7BDF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3">
    <w:name w:val="Body Text First Indent 2"/>
    <w:basedOn w:val="2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2026-03-27T06:16:52Z</dcterms:created>
  <dc:creator>Administrator</dc:creator>
  <cp:lastModifiedBy>李蹊</cp:lastModifiedBy>
  <dcterms:modified xsi:type="dcterms:W3CDTF">2026-03-27T06:43:28Z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eyJoZGlkIjoiYWQ0MzVhZDQ0NzMyMDg5NzM3NzNmZWI4NmIxZDVlMjQiLCJ1c2VySWQiOiIyMDMxMDgyMDUifQ==</vt:lpwstr>
  </property>
  <property fmtid="{D5CDD505-2E9C-101B-9397-08002B2CF9AE}" pid="4" name="ICV">
    <vt:lpwstr>3554B763569945BD8BF8BC5B5B00EFCF_12</vt:lpwstr>
  </property>
</Properties>
</file>