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F7ED11">
      <w:pPr>
        <w:adjustRightInd w:val="0"/>
        <w:snapToGrid w:val="0"/>
        <w:spacing w:line="360" w:lineRule="auto"/>
        <w:outlineLvl w:val="0"/>
        <w:rPr>
          <w:rFonts w:hint="eastAsia" w:ascii="宋体" w:hAnsi="宋体"/>
          <w:b/>
          <w:bCs/>
          <w:color w:val="auto"/>
          <w:kern w:val="0"/>
          <w:sz w:val="48"/>
        </w:rPr>
      </w:pPr>
    </w:p>
    <w:p w14:paraId="5F2CF0F0">
      <w:pPr>
        <w:adjustRightInd w:val="0"/>
        <w:snapToGrid w:val="0"/>
        <w:spacing w:line="360" w:lineRule="auto"/>
        <w:outlineLvl w:val="0"/>
        <w:rPr>
          <w:rFonts w:hint="eastAsia" w:ascii="宋体" w:hAnsi="宋体"/>
          <w:b/>
          <w:bCs/>
          <w:color w:val="auto"/>
          <w:kern w:val="0"/>
          <w:sz w:val="48"/>
        </w:rPr>
      </w:pPr>
    </w:p>
    <w:p w14:paraId="5D91809A">
      <w:pPr>
        <w:adjustRightInd w:val="0"/>
        <w:snapToGrid w:val="0"/>
        <w:spacing w:line="360" w:lineRule="auto"/>
        <w:jc w:val="center"/>
        <w:outlineLvl w:val="0"/>
        <w:rPr>
          <w:rFonts w:hint="eastAsia" w:ascii="宋体" w:hAnsi="宋体"/>
          <w:b/>
          <w:color w:val="auto"/>
          <w:kern w:val="0"/>
          <w:sz w:val="48"/>
        </w:rPr>
      </w:pPr>
      <w:r>
        <w:rPr>
          <w:rFonts w:hint="eastAsia" w:ascii="宋体" w:hAnsi="宋体"/>
          <w:b/>
          <w:bCs/>
          <w:color w:val="auto"/>
          <w:kern w:val="0"/>
          <w:sz w:val="48"/>
        </w:rPr>
        <w:t>规划设计合同</w:t>
      </w:r>
    </w:p>
    <w:p w14:paraId="465BAE2A">
      <w:pPr>
        <w:rPr>
          <w:rFonts w:ascii="宋体" w:hAnsi="宋体"/>
          <w:b/>
          <w:color w:val="auto"/>
          <w:kern w:val="0"/>
        </w:rPr>
      </w:pPr>
    </w:p>
    <w:p w14:paraId="3BB13AD9">
      <w:pPr>
        <w:rPr>
          <w:rFonts w:ascii="宋体" w:hAnsi="宋体"/>
          <w:b/>
          <w:color w:val="auto"/>
          <w:kern w:val="0"/>
          <w:sz w:val="28"/>
        </w:rPr>
      </w:pPr>
    </w:p>
    <w:p w14:paraId="75F36A09">
      <w:pPr>
        <w:ind w:left="1994" w:hanging="1994" w:hangingChars="662"/>
        <w:rPr>
          <w:rFonts w:hint="eastAsia" w:ascii="宋体" w:hAnsi="宋体"/>
          <w:b/>
          <w:bCs/>
          <w:color w:val="auto"/>
          <w:kern w:val="0"/>
          <w:sz w:val="30"/>
          <w:u w:val="single"/>
        </w:rPr>
      </w:pPr>
      <w:r>
        <w:rPr>
          <w:rFonts w:hint="eastAsia" w:ascii="宋体" w:hAnsi="宋体"/>
          <w:b/>
          <w:bCs/>
          <w:color w:val="auto"/>
          <w:kern w:val="0"/>
          <w:sz w:val="30"/>
        </w:rPr>
        <w:t>项 目 名 称：</w:t>
      </w:r>
      <w:r>
        <w:rPr>
          <w:rFonts w:hint="eastAsia" w:ascii="宋体" w:hAnsi="宋体"/>
          <w:b/>
          <w:bCs/>
          <w:color w:val="auto"/>
          <w:spacing w:val="0"/>
          <w:w w:val="85"/>
          <w:kern w:val="0"/>
          <w:sz w:val="30"/>
          <w:u w:val="single"/>
          <w:fitText w:val="6000" w:id="511971832"/>
          <w:lang w:eastAsia="zh-CN"/>
        </w:rPr>
        <w:t>西安市雁塔区</w:t>
      </w:r>
      <w:r>
        <w:rPr>
          <w:rFonts w:hint="eastAsia" w:ascii="宋体" w:hAnsi="宋体"/>
          <w:b/>
          <w:bCs/>
          <w:color w:val="auto"/>
          <w:spacing w:val="0"/>
          <w:w w:val="85"/>
          <w:kern w:val="0"/>
          <w:sz w:val="30"/>
          <w:u w:val="single"/>
          <w:fitText w:val="6000" w:id="511971832"/>
          <w:lang w:val="en-US" w:eastAsia="zh-CN"/>
        </w:rPr>
        <w:t>2026年度规划编制服务等相关服务项</w:t>
      </w:r>
      <w:r>
        <w:rPr>
          <w:rFonts w:hint="eastAsia" w:ascii="宋体" w:hAnsi="宋体"/>
          <w:b/>
          <w:bCs/>
          <w:color w:val="auto"/>
          <w:spacing w:val="-12"/>
          <w:w w:val="85"/>
          <w:kern w:val="0"/>
          <w:sz w:val="30"/>
          <w:u w:val="single"/>
          <w:fitText w:val="6000" w:id="511971832"/>
          <w:lang w:val="en-US" w:eastAsia="zh-CN"/>
        </w:rPr>
        <w:t>目</w:t>
      </w:r>
    </w:p>
    <w:p w14:paraId="6E353DB4">
      <w:pPr>
        <w:rPr>
          <w:rFonts w:hint="eastAsia" w:ascii="宋体" w:hAnsi="宋体"/>
          <w:b/>
          <w:bCs/>
          <w:color w:val="auto"/>
          <w:kern w:val="0"/>
          <w:sz w:val="30"/>
        </w:rPr>
      </w:pPr>
    </w:p>
    <w:p w14:paraId="67D0DE6C">
      <w:pPr>
        <w:rPr>
          <w:rFonts w:hint="eastAsia" w:ascii="宋体" w:hAnsi="宋体" w:eastAsia="宋体"/>
          <w:b/>
          <w:bCs/>
          <w:color w:val="auto"/>
          <w:kern w:val="0"/>
          <w:sz w:val="30"/>
          <w:u w:val="single"/>
          <w:lang w:val="en-US" w:eastAsia="zh-CN"/>
        </w:rPr>
      </w:pPr>
      <w:r>
        <w:rPr>
          <w:rFonts w:hint="eastAsia" w:ascii="宋体" w:hAnsi="宋体"/>
          <w:b/>
          <w:bCs/>
          <w:color w:val="auto"/>
          <w:kern w:val="0"/>
          <w:sz w:val="30"/>
        </w:rPr>
        <w:t>项目建设地点：</w:t>
      </w:r>
      <w:r>
        <w:rPr>
          <w:rFonts w:hint="eastAsia" w:ascii="宋体" w:hAnsi="宋体"/>
          <w:b/>
          <w:bCs/>
          <w:color w:val="auto"/>
          <w:kern w:val="0"/>
          <w:sz w:val="30"/>
          <w:u w:val="single"/>
        </w:rPr>
        <w:t xml:space="preserve"> </w:t>
      </w:r>
      <w:r>
        <w:rPr>
          <w:rFonts w:hint="eastAsia" w:ascii="宋体" w:hAnsi="宋体"/>
          <w:b/>
          <w:bCs/>
          <w:color w:val="auto"/>
          <w:kern w:val="0"/>
          <w:sz w:val="30"/>
          <w:u w:val="single"/>
          <w:lang w:val="en-US" w:eastAsia="zh-CN"/>
        </w:rPr>
        <w:t xml:space="preserve">           </w:t>
      </w:r>
      <w:r>
        <w:rPr>
          <w:rFonts w:hint="eastAsia" w:ascii="宋体" w:hAnsi="宋体"/>
          <w:b/>
          <w:bCs/>
          <w:color w:val="auto"/>
          <w:kern w:val="0"/>
          <w:sz w:val="30"/>
          <w:u w:val="single"/>
        </w:rPr>
        <w:t xml:space="preserve"> </w:t>
      </w:r>
      <w:r>
        <w:rPr>
          <w:rFonts w:hint="eastAsia" w:ascii="宋体" w:hAnsi="宋体"/>
          <w:b/>
          <w:bCs/>
          <w:color w:val="auto"/>
          <w:kern w:val="0"/>
          <w:sz w:val="30"/>
          <w:u w:val="single"/>
          <w:lang w:val="en-US" w:eastAsia="zh-CN"/>
        </w:rPr>
        <w:t xml:space="preserve"> </w:t>
      </w:r>
    </w:p>
    <w:p w14:paraId="28778F45">
      <w:pPr>
        <w:rPr>
          <w:rFonts w:hint="eastAsia" w:ascii="宋体" w:hAnsi="宋体"/>
          <w:b/>
          <w:bCs/>
          <w:color w:val="auto"/>
          <w:kern w:val="0"/>
          <w:sz w:val="30"/>
        </w:rPr>
      </w:pPr>
    </w:p>
    <w:p w14:paraId="38DF9C7C">
      <w:pPr>
        <w:rPr>
          <w:rFonts w:hint="eastAsia" w:ascii="宋体" w:hAnsi="宋体"/>
          <w:b/>
          <w:bCs/>
          <w:color w:val="auto"/>
          <w:kern w:val="0"/>
          <w:sz w:val="30"/>
          <w:u w:val="single"/>
        </w:rPr>
      </w:pPr>
      <w:r>
        <w:rPr>
          <w:rFonts w:hint="eastAsia" w:ascii="宋体" w:hAnsi="宋体"/>
          <w:b/>
          <w:bCs/>
          <w:color w:val="auto"/>
          <w:kern w:val="0"/>
          <w:sz w:val="30"/>
        </w:rPr>
        <w:t xml:space="preserve">合 同 编 号： </w:t>
      </w:r>
      <w:r>
        <w:rPr>
          <w:rFonts w:hint="eastAsia" w:ascii="宋体" w:hAnsi="宋体"/>
          <w:b/>
          <w:bCs/>
          <w:color w:val="auto"/>
          <w:kern w:val="0"/>
          <w:sz w:val="30"/>
          <w:u w:val="single"/>
        </w:rPr>
        <w:t xml:space="preserve">            </w:t>
      </w:r>
      <w:r>
        <w:rPr>
          <w:rFonts w:hint="eastAsia" w:ascii="宋体" w:hAnsi="宋体"/>
          <w:b/>
          <w:bCs/>
          <w:color w:val="auto"/>
          <w:kern w:val="0"/>
          <w:sz w:val="30"/>
          <w:u w:val="single"/>
          <w:lang w:val="en-US" w:eastAsia="zh-CN"/>
        </w:rPr>
        <w:t xml:space="preserve">  </w:t>
      </w:r>
    </w:p>
    <w:p w14:paraId="31E8F555">
      <w:pPr>
        <w:rPr>
          <w:rFonts w:hint="eastAsia" w:ascii="宋体" w:hAnsi="宋体"/>
          <w:b/>
          <w:bCs/>
          <w:color w:val="auto"/>
          <w:kern w:val="0"/>
          <w:sz w:val="30"/>
        </w:rPr>
      </w:pPr>
    </w:p>
    <w:p w14:paraId="1D89BB0A">
      <w:pPr>
        <w:rPr>
          <w:rFonts w:hint="default" w:ascii="宋体" w:hAnsi="宋体"/>
          <w:b/>
          <w:bCs/>
          <w:color w:val="auto"/>
          <w:kern w:val="0"/>
          <w:sz w:val="30"/>
          <w:u w:val="single"/>
          <w:lang w:val="en-US"/>
        </w:rPr>
      </w:pPr>
      <w:r>
        <w:rPr>
          <w:rFonts w:hint="eastAsia" w:ascii="宋体" w:hAnsi="宋体"/>
          <w:b/>
          <w:bCs/>
          <w:color w:val="auto"/>
          <w:kern w:val="0"/>
          <w:sz w:val="30"/>
        </w:rPr>
        <w:t>委托方（甲方）：</w:t>
      </w:r>
      <w:r>
        <w:rPr>
          <w:rFonts w:hint="eastAsia" w:ascii="宋体" w:hAnsi="宋体"/>
          <w:b/>
          <w:bCs/>
          <w:color w:val="auto"/>
          <w:kern w:val="0"/>
          <w:sz w:val="30"/>
          <w:u w:val="single"/>
        </w:rPr>
        <w:t xml:space="preserve"> </w:t>
      </w:r>
      <w:r>
        <w:rPr>
          <w:rFonts w:hint="eastAsia" w:ascii="宋体" w:hAnsi="宋体"/>
          <w:b/>
          <w:bCs/>
          <w:color w:val="auto"/>
          <w:kern w:val="0"/>
          <w:sz w:val="30"/>
          <w:u w:val="single"/>
          <w:lang w:eastAsia="zh-CN"/>
        </w:rPr>
        <w:t>西安市自然资源和规划局雁塔分局</w:t>
      </w:r>
      <w:r>
        <w:rPr>
          <w:rFonts w:hint="eastAsia" w:ascii="宋体" w:hAnsi="宋体"/>
          <w:b/>
          <w:bCs/>
          <w:color w:val="auto"/>
          <w:kern w:val="0"/>
          <w:sz w:val="30"/>
          <w:u w:val="single"/>
          <w:lang w:val="en-US" w:eastAsia="zh-CN"/>
        </w:rPr>
        <w:t xml:space="preserve"> </w:t>
      </w:r>
    </w:p>
    <w:p w14:paraId="463EC121">
      <w:pPr>
        <w:rPr>
          <w:rFonts w:hint="eastAsia" w:ascii="宋体" w:hAnsi="宋体"/>
          <w:b/>
          <w:bCs/>
          <w:color w:val="auto"/>
          <w:kern w:val="0"/>
          <w:sz w:val="30"/>
        </w:rPr>
      </w:pPr>
    </w:p>
    <w:p w14:paraId="3B3CCBD1">
      <w:pPr>
        <w:rPr>
          <w:rFonts w:hint="default" w:ascii="宋体" w:hAnsi="宋体" w:eastAsia="宋体"/>
          <w:b/>
          <w:bCs/>
          <w:color w:val="auto"/>
          <w:kern w:val="0"/>
          <w:sz w:val="30"/>
          <w:u w:val="single"/>
          <w:lang w:val="en-US" w:eastAsia="zh-CN"/>
        </w:rPr>
      </w:pPr>
      <w:r>
        <w:rPr>
          <w:rFonts w:hint="eastAsia" w:ascii="宋体" w:hAnsi="宋体"/>
          <w:b/>
          <w:bCs/>
          <w:color w:val="auto"/>
          <w:kern w:val="0"/>
          <w:sz w:val="30"/>
        </w:rPr>
        <w:t>承接方（乙方）：</w:t>
      </w:r>
      <w:r>
        <w:rPr>
          <w:rFonts w:hint="eastAsia" w:ascii="宋体" w:hAnsi="宋体"/>
          <w:b/>
          <w:bCs/>
          <w:color w:val="auto"/>
          <w:kern w:val="0"/>
          <w:sz w:val="30"/>
          <w:u w:val="single"/>
        </w:rPr>
        <w:t xml:space="preserve"> </w:t>
      </w:r>
      <w:r>
        <w:rPr>
          <w:rFonts w:hint="eastAsia" w:ascii="宋体" w:hAnsi="宋体"/>
          <w:b/>
          <w:bCs/>
          <w:color w:val="auto"/>
          <w:kern w:val="0"/>
          <w:sz w:val="30"/>
          <w:u w:val="single"/>
          <w:lang w:val="en-US" w:eastAsia="zh-CN"/>
        </w:rPr>
        <w:t xml:space="preserve">                               </w:t>
      </w:r>
    </w:p>
    <w:p w14:paraId="592C09E5">
      <w:pPr>
        <w:rPr>
          <w:rFonts w:ascii="宋体" w:hAnsi="宋体"/>
          <w:b/>
          <w:bCs/>
          <w:color w:val="auto"/>
          <w:kern w:val="0"/>
          <w:sz w:val="30"/>
        </w:rPr>
      </w:pPr>
    </w:p>
    <w:p w14:paraId="0B9F3EDF">
      <w:pPr>
        <w:rPr>
          <w:rFonts w:hint="eastAsia" w:ascii="宋体" w:hAnsi="宋体"/>
          <w:b/>
          <w:bCs/>
          <w:color w:val="auto"/>
          <w:kern w:val="0"/>
          <w:sz w:val="30"/>
        </w:rPr>
      </w:pPr>
      <w:r>
        <w:rPr>
          <w:rFonts w:hint="eastAsia" w:ascii="宋体" w:hAnsi="宋体"/>
          <w:b/>
          <w:bCs/>
          <w:color w:val="auto"/>
          <w:kern w:val="0"/>
          <w:sz w:val="30"/>
        </w:rPr>
        <w:t xml:space="preserve">签 订 日 期： </w:t>
      </w:r>
      <w:r>
        <w:rPr>
          <w:rFonts w:hint="eastAsia" w:ascii="宋体" w:hAnsi="宋体"/>
          <w:b/>
          <w:bCs/>
          <w:color w:val="auto"/>
          <w:kern w:val="0"/>
          <w:sz w:val="30"/>
          <w:u w:val="single"/>
        </w:rPr>
        <w:t xml:space="preserve">     </w:t>
      </w:r>
      <w:r>
        <w:rPr>
          <w:rFonts w:hint="eastAsia" w:ascii="宋体" w:hAnsi="宋体"/>
          <w:b/>
          <w:bCs/>
          <w:color w:val="auto"/>
          <w:kern w:val="0"/>
          <w:sz w:val="30"/>
        </w:rPr>
        <w:t xml:space="preserve"> 年</w:t>
      </w:r>
      <w:r>
        <w:rPr>
          <w:rFonts w:hint="eastAsia" w:ascii="宋体" w:hAnsi="宋体"/>
          <w:b/>
          <w:bCs/>
          <w:color w:val="auto"/>
          <w:kern w:val="0"/>
          <w:sz w:val="30"/>
          <w:u w:val="single"/>
        </w:rPr>
        <w:t xml:space="preserve">    </w:t>
      </w:r>
      <w:r>
        <w:rPr>
          <w:rFonts w:hint="eastAsia" w:ascii="宋体" w:hAnsi="宋体"/>
          <w:b/>
          <w:bCs/>
          <w:color w:val="auto"/>
          <w:kern w:val="0"/>
          <w:sz w:val="30"/>
        </w:rPr>
        <w:t>月</w:t>
      </w:r>
      <w:r>
        <w:rPr>
          <w:rFonts w:hint="eastAsia" w:ascii="宋体" w:hAnsi="宋体"/>
          <w:b/>
          <w:bCs/>
          <w:color w:val="auto"/>
          <w:kern w:val="0"/>
          <w:sz w:val="30"/>
          <w:u w:val="single"/>
        </w:rPr>
        <w:t xml:space="preserve">     </w:t>
      </w:r>
      <w:r>
        <w:rPr>
          <w:rFonts w:hint="eastAsia" w:ascii="宋体" w:hAnsi="宋体"/>
          <w:b/>
          <w:bCs/>
          <w:color w:val="auto"/>
          <w:kern w:val="0"/>
          <w:sz w:val="30"/>
        </w:rPr>
        <w:t>日</w:t>
      </w:r>
    </w:p>
    <w:p w14:paraId="31EF31BA">
      <w:pPr>
        <w:adjustRightInd w:val="0"/>
        <w:snapToGrid w:val="0"/>
        <w:spacing w:line="360" w:lineRule="auto"/>
        <w:outlineLvl w:val="0"/>
        <w:rPr>
          <w:rFonts w:hint="eastAsia" w:ascii="宋体" w:hAnsi="宋体"/>
          <w:b/>
          <w:bCs/>
          <w:color w:val="auto"/>
          <w:kern w:val="0"/>
          <w:sz w:val="30"/>
          <w:u w:val="single"/>
        </w:rPr>
      </w:pPr>
    </w:p>
    <w:p w14:paraId="73DD734D">
      <w:pPr>
        <w:adjustRightInd w:val="0"/>
        <w:snapToGrid w:val="0"/>
        <w:spacing w:line="360" w:lineRule="auto"/>
        <w:outlineLvl w:val="0"/>
        <w:rPr>
          <w:rFonts w:hint="eastAsia" w:ascii="宋体" w:hAnsi="宋体"/>
          <w:b/>
          <w:bCs/>
          <w:color w:val="auto"/>
          <w:kern w:val="0"/>
          <w:sz w:val="30"/>
          <w:u w:val="single"/>
        </w:rPr>
      </w:pPr>
    </w:p>
    <w:p w14:paraId="44190853">
      <w:pPr>
        <w:adjustRightInd w:val="0"/>
        <w:snapToGrid w:val="0"/>
        <w:spacing w:line="360" w:lineRule="auto"/>
        <w:outlineLvl w:val="0"/>
        <w:rPr>
          <w:rFonts w:hint="eastAsia" w:ascii="宋体" w:hAnsi="宋体"/>
          <w:b/>
          <w:bCs/>
          <w:color w:val="auto"/>
          <w:kern w:val="0"/>
          <w:sz w:val="30"/>
          <w:u w:val="single"/>
        </w:rPr>
      </w:pPr>
    </w:p>
    <w:p w14:paraId="3F544A96">
      <w:pPr>
        <w:spacing w:line="360" w:lineRule="auto"/>
        <w:rPr>
          <w:rFonts w:hint="default" w:ascii="仿宋" w:hAnsi="仿宋" w:eastAsia="仿宋" w:cs="仿宋"/>
          <w:color w:val="auto"/>
          <w:sz w:val="32"/>
          <w:szCs w:val="32"/>
          <w:lang w:val="en-US" w:eastAsia="zh-CN"/>
        </w:rPr>
      </w:pPr>
      <w:r>
        <w:rPr>
          <w:rFonts w:ascii="宋体" w:hAnsi="宋体"/>
          <w:b/>
          <w:bCs/>
          <w:color w:val="auto"/>
          <w:kern w:val="0"/>
          <w:sz w:val="30"/>
          <w:u w:val="single"/>
        </w:rPr>
        <w:br w:type="page"/>
      </w:r>
      <w:r>
        <w:rPr>
          <w:rFonts w:hint="eastAsia" w:ascii="宋体" w:hAnsi="宋体"/>
          <w:b/>
          <w:bCs/>
          <w:color w:val="auto"/>
          <w:kern w:val="0"/>
          <w:sz w:val="24"/>
        </w:rPr>
        <w:t>委托方（甲方）</w:t>
      </w:r>
      <w:r>
        <w:rPr>
          <w:rFonts w:hint="eastAsia" w:ascii="宋体" w:hAnsi="宋体" w:eastAsia="宋体" w:cs="Times New Roman"/>
          <w:b/>
          <w:bCs/>
          <w:color w:val="auto"/>
          <w:kern w:val="0"/>
          <w:sz w:val="24"/>
          <w:szCs w:val="24"/>
        </w:rPr>
        <w:t>：</w:t>
      </w:r>
      <w:r>
        <w:rPr>
          <w:rFonts w:hint="eastAsia" w:ascii="宋体" w:hAnsi="宋体"/>
          <w:b/>
          <w:bCs/>
          <w:color w:val="auto"/>
          <w:kern w:val="0"/>
          <w:sz w:val="24"/>
          <w:u w:val="single"/>
          <w:lang w:eastAsia="zh-CN"/>
        </w:rPr>
        <w:t>西安市自然资源和规划局雁塔分局</w:t>
      </w:r>
    </w:p>
    <w:p w14:paraId="5AB75203">
      <w:pPr>
        <w:spacing w:line="360" w:lineRule="auto"/>
        <w:rPr>
          <w:rFonts w:hint="default" w:ascii="宋体" w:hAnsi="宋体" w:eastAsia="宋体"/>
          <w:b/>
          <w:bCs/>
          <w:color w:val="auto"/>
          <w:kern w:val="0"/>
          <w:sz w:val="24"/>
          <w:u w:val="single"/>
          <w:lang w:val="en-US" w:eastAsia="zh-CN"/>
        </w:rPr>
      </w:pPr>
      <w:r>
        <w:rPr>
          <w:rFonts w:hint="eastAsia" w:ascii="宋体" w:hAnsi="宋体"/>
          <w:b/>
          <w:bCs/>
          <w:color w:val="auto"/>
          <w:kern w:val="0"/>
          <w:sz w:val="24"/>
        </w:rPr>
        <w:t>承接方（乙方）</w:t>
      </w:r>
      <w:r>
        <w:rPr>
          <w:rFonts w:hint="eastAsia" w:ascii="宋体" w:hAnsi="宋体" w:eastAsia="宋体" w:cs="Times New Roman"/>
          <w:b/>
          <w:bCs/>
          <w:color w:val="auto"/>
          <w:kern w:val="0"/>
          <w:sz w:val="24"/>
          <w:szCs w:val="24"/>
        </w:rPr>
        <w:t>：</w:t>
      </w:r>
      <w:r>
        <w:rPr>
          <w:rFonts w:hint="eastAsia" w:ascii="宋体" w:hAnsi="宋体" w:cs="Times New Roman"/>
          <w:b/>
          <w:bCs/>
          <w:color w:val="auto"/>
          <w:kern w:val="0"/>
          <w:sz w:val="24"/>
          <w:szCs w:val="24"/>
          <w:u w:val="single"/>
          <w:lang w:val="en-US" w:eastAsia="zh-CN"/>
        </w:rPr>
        <w:t xml:space="preserve">                              </w:t>
      </w:r>
      <w:bookmarkStart w:id="7" w:name="_GoBack"/>
      <w:bookmarkEnd w:id="7"/>
    </w:p>
    <w:p w14:paraId="700B426C">
      <w:pPr>
        <w:spacing w:line="360" w:lineRule="auto"/>
        <w:rPr>
          <w:rFonts w:hint="eastAsia" w:ascii="宋体" w:hAnsi="宋体"/>
          <w:b/>
          <w:bCs/>
          <w:color w:val="auto"/>
          <w:kern w:val="0"/>
          <w:sz w:val="4"/>
          <w:szCs w:val="4"/>
          <w:u w:val="single"/>
        </w:rPr>
      </w:pPr>
    </w:p>
    <w:p w14:paraId="2429522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依照《中华人民共和国政府采购法》及实施条例、《中华人民共和国民法典》《中华人民共和国城乡规划法》、《西安市城乡规划条例》等法律、行政法规，遵循平等、自愿、公平和诚实信用的原则，双方就</w:t>
      </w:r>
      <w:r>
        <w:rPr>
          <w:rFonts w:hint="eastAsia" w:ascii="宋体" w:hAnsi="宋体" w:eastAsia="宋体" w:cs="宋体"/>
          <w:color w:val="auto"/>
          <w:sz w:val="24"/>
          <w:szCs w:val="24"/>
          <w:lang w:val="en-US" w:eastAsia="zh-CN"/>
        </w:rPr>
        <w:t>西安市雁塔区2026年度规划编制服务等相关服务</w:t>
      </w:r>
      <w:r>
        <w:rPr>
          <w:rFonts w:hint="eastAsia" w:ascii="宋体" w:hAnsi="宋体" w:eastAsia="宋体" w:cs="宋体"/>
          <w:color w:val="auto"/>
          <w:sz w:val="24"/>
          <w:szCs w:val="24"/>
        </w:rPr>
        <w:t>事项协商一致，订立本合同。</w:t>
      </w:r>
    </w:p>
    <w:p w14:paraId="005DB6F7">
      <w:pPr>
        <w:pStyle w:val="8"/>
        <w:numPr>
          <w:ilvl w:val="0"/>
          <w:numId w:val="0"/>
        </w:numPr>
        <w:spacing w:before="120" w:beforeLines="50" w:after="120" w:afterLines="50" w:line="360" w:lineRule="auto"/>
        <w:ind w:left="0" w:leftChars="0" w:firstLine="422" w:firstLineChars="175"/>
        <w:outlineLvl w:val="1"/>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一、 项目概况</w:t>
      </w:r>
    </w:p>
    <w:p w14:paraId="0ECDF0C1">
      <w:pPr>
        <w:spacing w:line="360" w:lineRule="auto"/>
        <w:ind w:firstLine="405"/>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eastAsia="zh-CN"/>
        </w:rPr>
        <w:t>项目名称：</w:t>
      </w:r>
      <w:r>
        <w:rPr>
          <w:rFonts w:hint="eastAsia" w:ascii="宋体" w:hAnsi="宋体" w:cs="宋体"/>
          <w:color w:val="auto"/>
          <w:sz w:val="24"/>
          <w:szCs w:val="24"/>
          <w:u w:val="single"/>
          <w:lang w:val="en-US" w:eastAsia="zh-CN"/>
        </w:rPr>
        <w:t>西安市雁塔区2026年度规划编制服务等相关服务项目</w:t>
      </w:r>
      <w:r>
        <w:rPr>
          <w:rFonts w:hint="eastAsia" w:ascii="宋体" w:hAnsi="宋体" w:eastAsia="宋体" w:cs="宋体"/>
          <w:color w:val="auto"/>
          <w:sz w:val="24"/>
          <w:szCs w:val="24"/>
          <w:lang w:eastAsia="zh-CN"/>
        </w:rPr>
        <w:t>；</w:t>
      </w:r>
    </w:p>
    <w:p w14:paraId="68FF5519">
      <w:pPr>
        <w:spacing w:line="360" w:lineRule="auto"/>
        <w:ind w:firstLine="405"/>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服务</w:t>
      </w:r>
      <w:r>
        <w:rPr>
          <w:rFonts w:hint="eastAsia" w:ascii="宋体" w:hAnsi="宋体" w:eastAsia="宋体" w:cs="宋体"/>
          <w:color w:val="auto"/>
          <w:sz w:val="24"/>
          <w:szCs w:val="24"/>
        </w:rPr>
        <w:t>范围及规模：</w:t>
      </w:r>
      <w:r>
        <w:rPr>
          <w:rFonts w:hint="eastAsia" w:ascii="宋体" w:hAnsi="宋体" w:eastAsia="宋体" w:cs="宋体"/>
          <w:color w:val="auto"/>
          <w:sz w:val="24"/>
          <w:szCs w:val="24"/>
          <w:u w:val="single"/>
        </w:rPr>
        <w:t>年度土地整备专项与征储供计划</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单元详细规划优化调整、</w:t>
      </w:r>
      <w:r>
        <w:rPr>
          <w:rFonts w:hint="eastAsia" w:ascii="宋体" w:hAnsi="宋体" w:eastAsia="宋体" w:cs="宋体"/>
          <w:color w:val="auto"/>
          <w:sz w:val="24"/>
          <w:szCs w:val="24"/>
          <w:u w:val="single"/>
        </w:rPr>
        <w:t>地块实施详细规划</w:t>
      </w:r>
      <w:r>
        <w:rPr>
          <w:rFonts w:hint="eastAsia" w:ascii="宋体" w:hAnsi="宋体" w:cs="宋体"/>
          <w:color w:val="auto"/>
          <w:sz w:val="24"/>
          <w:szCs w:val="24"/>
          <w:u w:val="single"/>
          <w:lang w:eastAsia="zh-CN"/>
        </w:rPr>
        <w:t>编制</w:t>
      </w:r>
      <w:r>
        <w:rPr>
          <w:rFonts w:hint="eastAsia" w:ascii="宋体" w:hAnsi="宋体" w:cs="宋体"/>
          <w:color w:val="auto"/>
          <w:sz w:val="24"/>
          <w:szCs w:val="24"/>
          <w:u w:val="single"/>
          <w:lang w:val="en-US" w:eastAsia="zh-CN"/>
        </w:rPr>
        <w:t>及“规土评让”技术服务</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rPr>
        <w:t>国土空间规划动态维护</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rPr>
        <w:t>信息数据</w:t>
      </w:r>
      <w:r>
        <w:rPr>
          <w:rFonts w:hint="eastAsia" w:ascii="宋体" w:hAnsi="宋体" w:eastAsia="宋体" w:cs="宋体"/>
          <w:color w:val="auto"/>
          <w:sz w:val="24"/>
          <w:szCs w:val="24"/>
          <w:u w:val="single"/>
          <w:lang w:val="en-US" w:eastAsia="zh-CN"/>
        </w:rPr>
        <w:t>加工处理</w:t>
      </w:r>
      <w:r>
        <w:rPr>
          <w:rFonts w:hint="eastAsia" w:ascii="宋体" w:hAnsi="宋体" w:eastAsia="宋体" w:cs="宋体"/>
          <w:color w:val="auto"/>
          <w:sz w:val="24"/>
          <w:szCs w:val="24"/>
          <w:u w:val="single"/>
        </w:rPr>
        <w:t>、规划咨询及信息技术咨询服务</w:t>
      </w:r>
      <w:r>
        <w:rPr>
          <w:rFonts w:hint="eastAsia" w:ascii="宋体" w:hAnsi="宋体" w:cs="宋体"/>
          <w:color w:val="auto"/>
          <w:sz w:val="24"/>
          <w:szCs w:val="24"/>
          <w:u w:val="single"/>
          <w:lang w:eastAsia="zh-CN"/>
        </w:rPr>
        <w:t>、规划研究论证报告</w:t>
      </w:r>
      <w:r>
        <w:rPr>
          <w:rFonts w:hint="eastAsia" w:ascii="宋体" w:hAnsi="宋体" w:eastAsia="宋体" w:cs="宋体"/>
          <w:color w:val="auto"/>
          <w:sz w:val="24"/>
          <w:szCs w:val="24"/>
        </w:rPr>
        <w:t>等相关技术服务；</w:t>
      </w:r>
    </w:p>
    <w:p w14:paraId="13C656DD">
      <w:pPr>
        <w:spacing w:line="360" w:lineRule="auto"/>
        <w:ind w:firstLine="405"/>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服务</w:t>
      </w:r>
      <w:r>
        <w:rPr>
          <w:rFonts w:hint="eastAsia" w:ascii="宋体" w:hAnsi="宋体" w:eastAsia="宋体" w:cs="宋体"/>
          <w:color w:val="auto"/>
          <w:sz w:val="24"/>
          <w:szCs w:val="24"/>
        </w:rPr>
        <w:t>地点：</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p>
    <w:p w14:paraId="37B2FCD3">
      <w:pPr>
        <w:pStyle w:val="8"/>
        <w:numPr>
          <w:ilvl w:val="0"/>
          <w:numId w:val="0"/>
        </w:numPr>
        <w:spacing w:before="120" w:beforeLines="50" w:after="120" w:afterLines="50" w:line="360" w:lineRule="auto"/>
        <w:ind w:left="0" w:leftChars="0" w:firstLine="422" w:firstLineChars="175"/>
        <w:outlineLvl w:val="1"/>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二、组成本合同的文件</w:t>
      </w:r>
    </w:p>
    <w:p w14:paraId="71F59B1F">
      <w:pPr>
        <w:spacing w:line="360" w:lineRule="auto"/>
        <w:ind w:firstLine="405"/>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eastAsia="zh-CN"/>
        </w:rPr>
        <w:t>合同</w:t>
      </w:r>
      <w:r>
        <w:rPr>
          <w:rFonts w:hint="eastAsia" w:ascii="宋体" w:hAnsi="宋体" w:eastAsia="宋体" w:cs="宋体"/>
          <w:color w:val="auto"/>
          <w:sz w:val="24"/>
          <w:szCs w:val="24"/>
        </w:rPr>
        <w:t>；</w:t>
      </w:r>
    </w:p>
    <w:p w14:paraId="233ECF37">
      <w:pPr>
        <w:spacing w:line="360" w:lineRule="auto"/>
        <w:ind w:firstLine="405"/>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中标</w:t>
      </w:r>
      <w:r>
        <w:rPr>
          <w:rFonts w:hint="eastAsia" w:ascii="宋体" w:hAnsi="宋体" w:eastAsia="宋体" w:cs="宋体"/>
          <w:color w:val="auto"/>
          <w:sz w:val="24"/>
          <w:szCs w:val="24"/>
          <w:lang w:eastAsia="zh-CN"/>
        </w:rPr>
        <w:t>（成交）</w:t>
      </w:r>
      <w:r>
        <w:rPr>
          <w:rFonts w:hint="eastAsia" w:ascii="宋体" w:hAnsi="宋体" w:eastAsia="宋体" w:cs="宋体"/>
          <w:color w:val="auto"/>
          <w:sz w:val="24"/>
          <w:szCs w:val="24"/>
        </w:rPr>
        <w:t>通知书、投标文件、招标文件、澄清、招标补充文件（或委托书）；</w:t>
      </w:r>
    </w:p>
    <w:p w14:paraId="20E8ED1A">
      <w:pPr>
        <w:spacing w:line="360" w:lineRule="auto"/>
        <w:ind w:firstLine="405"/>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本合同签订后，双方依法签订的补充协议也是本合同文件的组成部分。</w:t>
      </w:r>
    </w:p>
    <w:p w14:paraId="4AAE8B5B">
      <w:pPr>
        <w:pStyle w:val="8"/>
        <w:numPr>
          <w:ilvl w:val="0"/>
          <w:numId w:val="0"/>
        </w:numPr>
        <w:spacing w:before="120" w:beforeLines="50" w:after="120" w:afterLines="50" w:line="360" w:lineRule="auto"/>
        <w:ind w:left="0" w:firstLine="482" w:firstLineChars="200"/>
        <w:outlineLvl w:val="1"/>
        <w:rPr>
          <w:rFonts w:hint="eastAsia" w:ascii="宋体" w:hAnsi="宋体" w:eastAsia="宋体" w:cs="宋体"/>
          <w:b/>
          <w:color w:val="auto"/>
          <w:sz w:val="24"/>
          <w:szCs w:val="24"/>
          <w:lang w:eastAsia="zh-CN"/>
        </w:rPr>
      </w:pPr>
      <w:bookmarkStart w:id="0" w:name="_Toc1225"/>
      <w:r>
        <w:rPr>
          <w:rFonts w:hint="eastAsia" w:ascii="宋体" w:hAnsi="宋体" w:cs="宋体"/>
          <w:b/>
          <w:color w:val="auto"/>
          <w:sz w:val="24"/>
          <w:szCs w:val="24"/>
          <w:lang w:val="en-US" w:eastAsia="zh-CN"/>
        </w:rPr>
        <w:t>三</w:t>
      </w:r>
      <w:r>
        <w:rPr>
          <w:rFonts w:hint="eastAsia" w:ascii="宋体" w:hAnsi="宋体" w:eastAsia="宋体" w:cs="宋体"/>
          <w:b/>
          <w:color w:val="auto"/>
          <w:sz w:val="24"/>
          <w:szCs w:val="24"/>
          <w:lang w:val="en-US" w:eastAsia="zh-CN"/>
        </w:rPr>
        <w:t>、</w:t>
      </w:r>
      <w:bookmarkEnd w:id="0"/>
      <w:r>
        <w:rPr>
          <w:rFonts w:hint="eastAsia" w:ascii="宋体" w:hAnsi="宋体" w:cs="宋体"/>
          <w:b/>
          <w:color w:val="auto"/>
          <w:sz w:val="24"/>
          <w:szCs w:val="24"/>
          <w:lang w:eastAsia="zh-CN"/>
        </w:rPr>
        <w:t>委托内容及范围</w:t>
      </w:r>
    </w:p>
    <w:p w14:paraId="614D316A">
      <w:pPr>
        <w:pStyle w:val="8"/>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   包含</w:t>
      </w:r>
      <w:r>
        <w:rPr>
          <w:rFonts w:hint="eastAsia" w:ascii="宋体" w:hAnsi="宋体" w:eastAsia="宋体" w:cs="宋体"/>
          <w:color w:val="auto"/>
          <w:sz w:val="24"/>
          <w:szCs w:val="24"/>
          <w:u w:val="single"/>
        </w:rPr>
        <w:t>年度土地整备专项与征储供计划</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rPr>
        <w:t xml:space="preserve"> 地块实施详细规划</w:t>
      </w:r>
      <w:r>
        <w:rPr>
          <w:rFonts w:hint="eastAsia" w:ascii="宋体" w:hAnsi="宋体" w:cs="宋体"/>
          <w:color w:val="auto"/>
          <w:sz w:val="24"/>
          <w:szCs w:val="24"/>
          <w:u w:val="single"/>
          <w:lang w:val="en-US" w:eastAsia="zh-CN"/>
        </w:rPr>
        <w:t>及规土评让</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单元详细规划优化调整、</w:t>
      </w:r>
      <w:r>
        <w:rPr>
          <w:rFonts w:hint="eastAsia" w:ascii="宋体" w:hAnsi="宋体" w:eastAsia="宋体" w:cs="宋体"/>
          <w:color w:val="auto"/>
          <w:sz w:val="24"/>
          <w:szCs w:val="24"/>
          <w:u w:val="single"/>
        </w:rPr>
        <w:t>国土空间规划动态维护</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rPr>
        <w:t>信息数据</w:t>
      </w:r>
      <w:r>
        <w:rPr>
          <w:rFonts w:hint="eastAsia" w:ascii="宋体" w:hAnsi="宋体" w:eastAsia="宋体" w:cs="宋体"/>
          <w:color w:val="auto"/>
          <w:sz w:val="24"/>
          <w:szCs w:val="24"/>
          <w:u w:val="single"/>
          <w:lang w:val="en-US" w:eastAsia="zh-CN"/>
        </w:rPr>
        <w:t>加工处理</w:t>
      </w:r>
      <w:r>
        <w:rPr>
          <w:rFonts w:hint="eastAsia" w:ascii="宋体" w:hAnsi="宋体" w:eastAsia="宋体" w:cs="宋体"/>
          <w:color w:val="auto"/>
          <w:sz w:val="24"/>
          <w:szCs w:val="24"/>
          <w:u w:val="single"/>
        </w:rPr>
        <w:t>、规划咨询及信息技术咨询服务</w:t>
      </w:r>
      <w:r>
        <w:rPr>
          <w:rFonts w:hint="eastAsia" w:ascii="宋体" w:hAnsi="宋体" w:cs="宋体"/>
          <w:color w:val="auto"/>
          <w:sz w:val="24"/>
          <w:szCs w:val="24"/>
          <w:u w:val="single"/>
          <w:lang w:eastAsia="zh-CN"/>
        </w:rPr>
        <w:t>、规划研究论证报告</w:t>
      </w:r>
      <w:r>
        <w:rPr>
          <w:rFonts w:hint="eastAsia" w:ascii="宋体" w:hAnsi="宋体" w:eastAsia="宋体" w:cs="宋体"/>
          <w:color w:val="auto"/>
          <w:sz w:val="24"/>
          <w:szCs w:val="24"/>
        </w:rPr>
        <w:t>等相关技术服务。</w:t>
      </w:r>
    </w:p>
    <w:p w14:paraId="50120726">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（1）甲方提交的有关资料及文件</w:t>
      </w:r>
    </w:p>
    <w:p w14:paraId="21137C65">
      <w:pPr>
        <w:spacing w:line="360" w:lineRule="auto"/>
        <w:ind w:firstLine="480" w:firstLineChars="200"/>
        <w:rPr>
          <w:rFonts w:hint="eastAsia" w:ascii="宋体" w:hAnsi="宋体" w:cs="宋体"/>
          <w:color w:val="auto"/>
          <w:sz w:val="24"/>
          <w:szCs w:val="24"/>
          <w:lang w:val="en-US" w:eastAsia="zh-CN"/>
        </w:rPr>
      </w:pPr>
      <w:r>
        <w:rPr>
          <w:rFonts w:hint="eastAsia" w:ascii="宋体" w:hAnsi="宋体" w:eastAsia="宋体" w:cs="宋体"/>
          <w:color w:val="auto"/>
          <w:sz w:val="24"/>
          <w:szCs w:val="24"/>
        </w:rPr>
        <w:t>1）</w:t>
      </w:r>
      <w:r>
        <w:rPr>
          <w:rFonts w:hint="eastAsia" w:ascii="宋体" w:hAnsi="宋体" w:cs="宋体"/>
          <w:color w:val="auto"/>
          <w:sz w:val="24"/>
          <w:szCs w:val="24"/>
          <w:lang w:val="en-US" w:eastAsia="zh-CN"/>
        </w:rPr>
        <w:t>涉及项目的上位规划</w:t>
      </w:r>
    </w:p>
    <w:p w14:paraId="1C7397B7">
      <w:pPr>
        <w:spacing w:line="360" w:lineRule="auto"/>
        <w:ind w:firstLine="480" w:firstLineChars="200"/>
        <w:rPr>
          <w:rFonts w:hint="eastAsia" w:ascii="宋体" w:hAnsi="宋体" w:eastAsia="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实施详细规划所需地形图、影像图、航拍图、项目立项批复、项目周边涉及的道路红线、项目范围</w:t>
      </w:r>
      <w:r>
        <w:rPr>
          <w:rFonts w:hint="eastAsia" w:ascii="宋体" w:hAnsi="宋体" w:cs="宋体"/>
          <w:color w:val="auto"/>
          <w:sz w:val="24"/>
          <w:szCs w:val="24"/>
          <w:lang w:val="en-US" w:eastAsia="zh-CN"/>
        </w:rPr>
        <w:t>多册合一</w:t>
      </w:r>
      <w:r>
        <w:rPr>
          <w:rFonts w:hint="eastAsia" w:ascii="宋体" w:hAnsi="宋体" w:eastAsia="宋体" w:cs="宋体"/>
          <w:color w:val="auto"/>
          <w:sz w:val="24"/>
          <w:szCs w:val="24"/>
        </w:rPr>
        <w:t>等相关资料。</w:t>
      </w:r>
    </w:p>
    <w:p w14:paraId="6C134C9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3）与项目研究有关的其它资料</w:t>
      </w:r>
    </w:p>
    <w:p w14:paraId="7A25E2D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以上资料未经甲方同意，不得另作他用。</w:t>
      </w:r>
    </w:p>
    <w:p w14:paraId="0877C119">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）乙方提交的设计成果内容</w:t>
      </w:r>
    </w:p>
    <w:p w14:paraId="26B07B7E">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年度土地整备专项与征储供计划</w:t>
      </w:r>
    </w:p>
    <w:p w14:paraId="0AEF6B46">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lang w:val="en-US" w:eastAsia="zh-CN"/>
        </w:rPr>
        <w:t> 统筹考虑规划条件、土地成本、预期出让收益，进行投入产出测算。按照“规划-征储供-储备投资-收益测算”全链条一体化思路，协助编制《年度土地整备与征储供计划》“三图”。</w:t>
      </w:r>
    </w:p>
    <w:p w14:paraId="76E93060">
      <w:pPr>
        <w:spacing w:line="360" w:lineRule="auto"/>
        <w:ind w:firstLine="480" w:firstLineChars="200"/>
        <w:rPr>
          <w:rFonts w:hint="eastAsia" w:ascii="宋体" w:hAnsi="宋体" w:eastAsia="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u w:val="single"/>
        </w:rPr>
        <w:t>实施详细规划</w:t>
      </w:r>
      <w:r>
        <w:rPr>
          <w:rFonts w:hint="eastAsia" w:ascii="宋体" w:hAnsi="宋体" w:eastAsia="宋体" w:cs="宋体"/>
          <w:color w:val="auto"/>
          <w:sz w:val="24"/>
          <w:szCs w:val="24"/>
          <w:u w:val="single"/>
          <w:lang w:val="en-US" w:eastAsia="zh-CN"/>
        </w:rPr>
        <w:t>及规土评让</w:t>
      </w:r>
      <w:r>
        <w:rPr>
          <w:rFonts w:hint="eastAsia" w:ascii="宋体" w:hAnsi="宋体" w:eastAsia="宋体" w:cs="宋体"/>
          <w:color w:val="auto"/>
          <w:sz w:val="24"/>
          <w:szCs w:val="24"/>
          <w:u w:val="single"/>
        </w:rPr>
        <w:t>编制内容</w:t>
      </w:r>
    </w:p>
    <w:p w14:paraId="37844DE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实施详细规划：</w:t>
      </w:r>
      <w:r>
        <w:rPr>
          <w:rFonts w:hint="eastAsia" w:ascii="宋体" w:hAnsi="宋体" w:eastAsia="宋体" w:cs="宋体"/>
          <w:color w:val="auto"/>
          <w:sz w:val="24"/>
          <w:szCs w:val="24"/>
          <w:lang w:val="en-US" w:eastAsia="zh-CN"/>
        </w:rPr>
        <w:t>结合土地权属和整备安排，以“多测合一” 的基础测绘成果明确地块边界，确定地块用地性质、容积率、建筑密度、绿地率、建筑高度等技术指标，市政基础设施和公共服务配套设施的用地规模、范围，以及建筑形态、公共空间等城市设计控制要求。</w:t>
      </w:r>
    </w:p>
    <w:p w14:paraId="2DA552BD">
      <w:pPr>
        <w:spacing w:line="360" w:lineRule="auto"/>
        <w:ind w:firstLine="480" w:firstLineChars="200"/>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规土评让服务：配合市场对接和土地供应，提供“规土评让”全流程相关技术服务。</w:t>
      </w:r>
    </w:p>
    <w:p w14:paraId="7C22CF02">
      <w:pPr>
        <w:spacing w:line="360" w:lineRule="auto"/>
        <w:ind w:firstLine="480" w:firstLineChars="200"/>
        <w:rPr>
          <w:rFonts w:hint="default"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u w:val="single"/>
          <w:lang w:val="en-US" w:eastAsia="zh-CN"/>
        </w:rPr>
        <w:t>单元详细规划优化调整</w:t>
      </w:r>
    </w:p>
    <w:p w14:paraId="1BC90C22">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优化单元用地布局，落实上位规划确定的约束性指标和刚性管控要求，明晰单元层面及重点建设地块实施层面核心管控内容，指导实施详细规划编制、贯通开展用地规划许可和“规土评让”全链条工作。</w:t>
      </w:r>
    </w:p>
    <w:p w14:paraId="3F562545">
      <w:pPr>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r>
        <w:rPr>
          <w:b/>
          <w:bCs/>
          <w:color w:val="auto"/>
          <w:sz w:val="28"/>
          <w:szCs w:val="32"/>
        </w:rPr>
        <w:t xml:space="preserve"> </w:t>
      </w:r>
      <w:r>
        <w:rPr>
          <w:rFonts w:hint="eastAsia" w:ascii="宋体" w:hAnsi="宋体" w:eastAsia="宋体" w:cs="宋体"/>
          <w:color w:val="auto"/>
          <w:sz w:val="24"/>
          <w:szCs w:val="24"/>
          <w:u w:val="single"/>
          <w:lang w:val="en-US" w:eastAsia="zh-CN"/>
        </w:rPr>
        <w:t>国土空间规划动态维护</w:t>
      </w:r>
    </w:p>
    <w:p w14:paraId="71007D1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结合年度国土空间总体规划体检评估，对区域国土空间规划进行必要的动态维护，保障规划的有效实施和刚性传导。</w:t>
      </w:r>
    </w:p>
    <w:p w14:paraId="1F76F162">
      <w:pPr>
        <w:numPr>
          <w:ilvl w:val="0"/>
          <w:numId w:val="1"/>
        </w:numPr>
        <w:spacing w:line="360" w:lineRule="auto"/>
        <w:ind w:left="480" w:leftChars="0" w:firstLine="0" w:firstLineChars="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single"/>
          <w:lang w:val="en-US" w:eastAsia="zh-CN"/>
        </w:rPr>
        <w:t>信息数据加工处理、规划咨询及信息技术咨询服务</w:t>
      </w:r>
    </w:p>
    <w:p w14:paraId="05E7682A">
      <w:pPr>
        <w:spacing w:line="360" w:lineRule="auto"/>
        <w:ind w:firstLine="480" w:firstLineChars="200"/>
        <w:rPr>
          <w:rFonts w:hint="eastAsia" w:ascii="宋体" w:hAnsi="宋体" w:cs="宋体"/>
          <w:color w:val="auto"/>
          <w:sz w:val="24"/>
          <w:szCs w:val="24"/>
          <w:lang w:eastAsia="zh-CN"/>
        </w:rPr>
      </w:pPr>
      <w:r>
        <w:rPr>
          <w:rFonts w:hint="eastAsia" w:ascii="宋体" w:hAnsi="宋体" w:eastAsia="宋体" w:cs="宋体"/>
          <w:color w:val="auto"/>
          <w:sz w:val="24"/>
          <w:szCs w:val="24"/>
        </w:rPr>
        <w:t>各类规划数据的标准化、数字化、空间化处理与建库。针对城市发展、土地市场、产业布局、公共服务设施等特定主题，基于多源数据（如规划数据、调查数据、社会经济数据）开展数据挖掘和分析</w:t>
      </w:r>
      <w:r>
        <w:rPr>
          <w:rFonts w:hint="eastAsia" w:ascii="宋体" w:hAnsi="宋体" w:cs="宋体"/>
          <w:color w:val="auto"/>
          <w:sz w:val="24"/>
          <w:szCs w:val="24"/>
          <w:lang w:val="en-US" w:eastAsia="zh-CN"/>
        </w:rPr>
        <w:t>等等相关信息数据加工及技术咨询服务</w:t>
      </w:r>
      <w:r>
        <w:rPr>
          <w:rFonts w:hint="eastAsia" w:ascii="宋体" w:hAnsi="宋体" w:cs="宋体"/>
          <w:color w:val="auto"/>
          <w:sz w:val="24"/>
          <w:szCs w:val="24"/>
          <w:lang w:eastAsia="zh-CN"/>
        </w:rPr>
        <w:t>。</w:t>
      </w:r>
    </w:p>
    <w:p w14:paraId="1BFFCF40">
      <w:pPr>
        <w:numPr>
          <w:ilvl w:val="0"/>
          <w:numId w:val="1"/>
        </w:numPr>
        <w:spacing w:line="360" w:lineRule="auto"/>
        <w:ind w:left="480" w:leftChars="0" w:firstLine="0" w:firstLineChars="0"/>
        <w:rPr>
          <w:rFonts w:hint="eastAsia" w:ascii="宋体" w:hAnsi="宋体" w:cs="宋体"/>
          <w:color w:val="auto"/>
          <w:sz w:val="24"/>
          <w:szCs w:val="24"/>
          <w:highlight w:val="none"/>
          <w:u w:val="single"/>
          <w:lang w:eastAsia="zh-CN"/>
        </w:rPr>
      </w:pPr>
      <w:r>
        <w:rPr>
          <w:rFonts w:hint="eastAsia" w:ascii="宋体" w:hAnsi="宋体" w:cs="宋体"/>
          <w:color w:val="auto"/>
          <w:sz w:val="24"/>
          <w:szCs w:val="24"/>
          <w:highlight w:val="none"/>
          <w:u w:val="single"/>
          <w:lang w:eastAsia="zh-CN"/>
        </w:rPr>
        <w:t>规划研究论证报告</w:t>
      </w:r>
    </w:p>
    <w:p w14:paraId="3672F485">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用地研究论证服务：结合项目成本核算，周边现状建设等内容，对项目用地优化进行可行性论证；</w:t>
      </w:r>
    </w:p>
    <w:p w14:paraId="1D2B0CB0">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规划指标论证服务：结合项目成本核算，周边现状建设等内容，对项目用地优化进行可行性论证；</w:t>
      </w:r>
    </w:p>
    <w:p w14:paraId="17350349">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现状评估论证服务：包含现状建成、历史遗留项目的评估，城市更新项目的评估。</w:t>
      </w:r>
    </w:p>
    <w:p w14:paraId="28A95DB1">
      <w:pPr>
        <w:numPr>
          <w:ilvl w:val="0"/>
          <w:numId w:val="0"/>
        </w:numPr>
        <w:spacing w:line="360" w:lineRule="auto"/>
        <w:ind w:left="480" w:leftChars="0"/>
        <w:rPr>
          <w:rFonts w:hint="default" w:ascii="宋体" w:hAnsi="宋体" w:cs="宋体"/>
          <w:color w:val="auto"/>
          <w:sz w:val="24"/>
          <w:szCs w:val="24"/>
          <w:u w:val="single"/>
          <w:lang w:val="en-US" w:eastAsia="zh-CN"/>
        </w:rPr>
      </w:pPr>
    </w:p>
    <w:p w14:paraId="6C73C3B0">
      <w:pPr>
        <w:pStyle w:val="8"/>
        <w:numPr>
          <w:ilvl w:val="0"/>
          <w:numId w:val="2"/>
        </w:numPr>
        <w:spacing w:line="360" w:lineRule="auto"/>
        <w:ind w:firstLine="420" w:firstLineChars="0"/>
        <w:jc w:val="left"/>
        <w:rPr>
          <w:rFonts w:hint="eastAsia" w:ascii="宋体" w:hAnsi="宋体" w:eastAsia="宋体" w:cs="宋体"/>
          <w:b/>
          <w:bCs/>
          <w:color w:val="auto"/>
          <w:sz w:val="24"/>
          <w:szCs w:val="24"/>
        </w:rPr>
      </w:pPr>
      <w:r>
        <w:rPr>
          <w:rFonts w:hint="eastAsia" w:ascii="宋体" w:hAnsi="宋体" w:cs="宋体"/>
          <w:b/>
          <w:bCs/>
          <w:color w:val="auto"/>
          <w:sz w:val="24"/>
          <w:szCs w:val="24"/>
          <w:lang w:eastAsia="zh-CN"/>
        </w:rPr>
        <w:t>服务</w:t>
      </w:r>
      <w:r>
        <w:rPr>
          <w:rFonts w:hint="eastAsia" w:ascii="宋体" w:hAnsi="宋体" w:eastAsia="宋体" w:cs="宋体"/>
          <w:b/>
          <w:bCs/>
          <w:color w:val="auto"/>
          <w:sz w:val="24"/>
          <w:szCs w:val="24"/>
        </w:rPr>
        <w:t>期</w:t>
      </w:r>
    </w:p>
    <w:p w14:paraId="2CCAB964">
      <w:pPr>
        <w:pStyle w:val="2"/>
        <w:keepNext w:val="0"/>
        <w:keepLines w:val="0"/>
        <w:pageBreakBefore w:val="0"/>
        <w:widowControl w:val="0"/>
        <w:kinsoku/>
        <w:wordWrap/>
        <w:overflowPunct/>
        <w:topLinePunct w:val="0"/>
        <w:autoSpaceDE/>
        <w:autoSpaceDN/>
        <w:bidi w:val="0"/>
        <w:spacing w:after="0" w:line="360" w:lineRule="auto"/>
        <w:ind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自合同签订之日起一年，自</w:t>
      </w:r>
      <w:r>
        <w:rPr>
          <w:rFonts w:hint="eastAsia" w:ascii="宋体" w:hAnsi="宋体" w:eastAsia="宋体" w:cs="宋体"/>
          <w:color w:val="auto"/>
          <w:kern w:val="0"/>
          <w:sz w:val="24"/>
          <w:szCs w:val="24"/>
          <w:u w:val="single"/>
          <w:lang w:val="en-US" w:eastAsia="zh-CN" w:bidi="ar-SA"/>
        </w:rPr>
        <w:t xml:space="preserve">      </w:t>
      </w:r>
      <w:r>
        <w:rPr>
          <w:rFonts w:hint="eastAsia" w:ascii="宋体" w:hAnsi="宋体" w:eastAsia="宋体" w:cs="宋体"/>
          <w:color w:val="auto"/>
          <w:kern w:val="0"/>
          <w:sz w:val="24"/>
          <w:szCs w:val="24"/>
          <w:lang w:val="en-US" w:eastAsia="zh-CN" w:bidi="ar-SA"/>
        </w:rPr>
        <w:t>年</w:t>
      </w:r>
      <w:r>
        <w:rPr>
          <w:rFonts w:hint="eastAsia" w:ascii="宋体" w:hAnsi="宋体" w:eastAsia="宋体" w:cs="宋体"/>
          <w:color w:val="auto"/>
          <w:kern w:val="0"/>
          <w:sz w:val="24"/>
          <w:szCs w:val="24"/>
          <w:u w:val="single"/>
          <w:lang w:val="en-US" w:eastAsia="zh-CN" w:bidi="ar-SA"/>
        </w:rPr>
        <w:t xml:space="preserve">    </w:t>
      </w:r>
      <w:r>
        <w:rPr>
          <w:rFonts w:hint="eastAsia" w:ascii="宋体" w:hAnsi="宋体" w:eastAsia="宋体" w:cs="宋体"/>
          <w:color w:val="auto"/>
          <w:kern w:val="0"/>
          <w:sz w:val="24"/>
          <w:szCs w:val="24"/>
          <w:lang w:val="en-US" w:eastAsia="zh-CN" w:bidi="ar-SA"/>
        </w:rPr>
        <w:t>月</w:t>
      </w:r>
      <w:r>
        <w:rPr>
          <w:rFonts w:hint="eastAsia" w:ascii="宋体" w:hAnsi="宋体" w:eastAsia="宋体" w:cs="宋体"/>
          <w:color w:val="auto"/>
          <w:kern w:val="0"/>
          <w:sz w:val="24"/>
          <w:szCs w:val="24"/>
          <w:u w:val="single"/>
          <w:lang w:val="en-US" w:eastAsia="zh-CN" w:bidi="ar-SA"/>
        </w:rPr>
        <w:t xml:space="preserve">    </w:t>
      </w:r>
      <w:r>
        <w:rPr>
          <w:rFonts w:hint="eastAsia" w:ascii="宋体" w:hAnsi="宋体" w:eastAsia="宋体" w:cs="宋体"/>
          <w:color w:val="auto"/>
          <w:kern w:val="0"/>
          <w:sz w:val="24"/>
          <w:szCs w:val="24"/>
          <w:lang w:val="en-US" w:eastAsia="zh-CN" w:bidi="ar-SA"/>
        </w:rPr>
        <w:t>日起至</w:t>
      </w:r>
      <w:r>
        <w:rPr>
          <w:rFonts w:hint="eastAsia" w:ascii="宋体" w:hAnsi="宋体" w:eastAsia="宋体" w:cs="宋体"/>
          <w:color w:val="auto"/>
          <w:kern w:val="0"/>
          <w:sz w:val="24"/>
          <w:szCs w:val="24"/>
          <w:u w:val="single"/>
          <w:lang w:val="en-US" w:eastAsia="zh-CN" w:bidi="ar-SA"/>
        </w:rPr>
        <w:t xml:space="preserve">     </w:t>
      </w:r>
      <w:r>
        <w:rPr>
          <w:rFonts w:hint="eastAsia" w:ascii="宋体" w:hAnsi="宋体" w:eastAsia="宋体" w:cs="宋体"/>
          <w:color w:val="auto"/>
          <w:kern w:val="0"/>
          <w:sz w:val="24"/>
          <w:szCs w:val="24"/>
          <w:lang w:val="en-US" w:eastAsia="zh-CN" w:bidi="ar-SA"/>
        </w:rPr>
        <w:t>年</w:t>
      </w:r>
      <w:r>
        <w:rPr>
          <w:rFonts w:hint="eastAsia" w:ascii="宋体" w:hAnsi="宋体" w:eastAsia="宋体" w:cs="宋体"/>
          <w:color w:val="auto"/>
          <w:kern w:val="0"/>
          <w:sz w:val="24"/>
          <w:szCs w:val="24"/>
          <w:u w:val="single"/>
          <w:lang w:val="en-US" w:eastAsia="zh-CN" w:bidi="ar-SA"/>
        </w:rPr>
        <w:t xml:space="preserve">    </w:t>
      </w:r>
      <w:r>
        <w:rPr>
          <w:rFonts w:hint="eastAsia" w:ascii="宋体" w:hAnsi="宋体" w:eastAsia="宋体" w:cs="宋体"/>
          <w:color w:val="auto"/>
          <w:kern w:val="0"/>
          <w:sz w:val="24"/>
          <w:szCs w:val="24"/>
          <w:lang w:val="en-US" w:eastAsia="zh-CN" w:bidi="ar-SA"/>
        </w:rPr>
        <w:t>月</w:t>
      </w:r>
      <w:r>
        <w:rPr>
          <w:rFonts w:hint="eastAsia" w:ascii="宋体" w:hAnsi="宋体" w:eastAsia="宋体" w:cs="宋体"/>
          <w:color w:val="auto"/>
          <w:kern w:val="0"/>
          <w:sz w:val="24"/>
          <w:szCs w:val="24"/>
          <w:u w:val="single"/>
          <w:lang w:val="en-US" w:eastAsia="zh-CN" w:bidi="ar-SA"/>
        </w:rPr>
        <w:t xml:space="preserve">   </w:t>
      </w:r>
      <w:r>
        <w:rPr>
          <w:rFonts w:hint="eastAsia" w:ascii="宋体" w:hAnsi="宋体" w:eastAsia="宋体" w:cs="宋体"/>
          <w:color w:val="auto"/>
          <w:kern w:val="0"/>
          <w:sz w:val="24"/>
          <w:szCs w:val="24"/>
          <w:lang w:val="en-US" w:eastAsia="zh-CN" w:bidi="ar-SA"/>
        </w:rPr>
        <w:t>日止。</w:t>
      </w:r>
    </w:p>
    <w:p w14:paraId="44F0A5B8">
      <w:pPr>
        <w:pStyle w:val="8"/>
        <w:numPr>
          <w:ilvl w:val="0"/>
          <w:numId w:val="2"/>
        </w:numPr>
        <w:spacing w:line="360" w:lineRule="auto"/>
        <w:ind w:firstLine="420" w:firstLineChars="0"/>
        <w:jc w:val="left"/>
        <w:rPr>
          <w:rFonts w:hint="eastAsia" w:ascii="宋体" w:hAnsi="宋体" w:cs="宋体"/>
          <w:b/>
          <w:bCs/>
          <w:color w:val="auto"/>
          <w:sz w:val="24"/>
          <w:szCs w:val="24"/>
          <w:lang w:eastAsia="zh-CN"/>
        </w:rPr>
      </w:pPr>
      <w:bookmarkStart w:id="1" w:name="_Toc30002"/>
      <w:r>
        <w:rPr>
          <w:rFonts w:hint="eastAsia" w:ascii="宋体" w:hAnsi="宋体" w:cs="宋体"/>
          <w:b/>
          <w:bCs/>
          <w:color w:val="auto"/>
          <w:sz w:val="24"/>
          <w:szCs w:val="24"/>
          <w:lang w:eastAsia="zh-CN"/>
        </w:rPr>
        <w:t>合</w:t>
      </w:r>
      <w:bookmarkEnd w:id="1"/>
      <w:r>
        <w:rPr>
          <w:rFonts w:hint="eastAsia" w:ascii="宋体" w:hAnsi="宋体" w:cs="宋体"/>
          <w:b/>
          <w:bCs/>
          <w:color w:val="auto"/>
          <w:sz w:val="24"/>
          <w:szCs w:val="24"/>
          <w:lang w:eastAsia="zh-CN"/>
        </w:rPr>
        <w:t>同价款</w:t>
      </w:r>
    </w:p>
    <w:p w14:paraId="144383B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本合同为固定单价，为完成本项目所要求内容且验收合格的所有费用，单价包括但不限于人工费、方案编制费，协调费，踏勘中的交通费，差旅费，食宿费，专家评审费，税金等其他一切相关费用。</w:t>
      </w:r>
    </w:p>
    <w:p w14:paraId="7FF02F1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合同暂定总价（大写）：</w:t>
      </w:r>
      <w:r>
        <w:rPr>
          <w:rFonts w:hint="eastAsia" w:ascii="宋体" w:hAnsi="宋体" w:eastAsia="宋体" w:cs="宋体"/>
          <w:color w:val="auto"/>
          <w:kern w:val="0"/>
          <w:sz w:val="24"/>
          <w:szCs w:val="24"/>
          <w:u w:val="single"/>
          <w:lang w:val="en-US" w:eastAsia="zh-CN" w:bidi="ar-SA"/>
        </w:rPr>
        <w:t xml:space="preserve">               </w:t>
      </w:r>
      <w:r>
        <w:rPr>
          <w:rFonts w:hint="eastAsia" w:ascii="宋体" w:hAnsi="宋体" w:eastAsia="宋体" w:cs="宋体"/>
          <w:color w:val="auto"/>
          <w:kern w:val="0"/>
          <w:sz w:val="24"/>
          <w:szCs w:val="24"/>
          <w:lang w:val="en-US" w:eastAsia="zh-CN" w:bidi="ar-SA"/>
        </w:rPr>
        <w:t>（小写）：¥</w:t>
      </w:r>
      <w:r>
        <w:rPr>
          <w:rFonts w:hint="eastAsia" w:ascii="宋体" w:hAnsi="宋体" w:eastAsia="宋体" w:cs="宋体"/>
          <w:color w:val="auto"/>
          <w:kern w:val="0"/>
          <w:sz w:val="24"/>
          <w:szCs w:val="24"/>
          <w:u w:val="single"/>
          <w:lang w:val="en-US" w:eastAsia="zh-CN" w:bidi="ar-SA"/>
        </w:rPr>
        <w:t xml:space="preserve">              </w:t>
      </w:r>
      <w:r>
        <w:rPr>
          <w:rFonts w:hint="eastAsia" w:ascii="宋体" w:hAnsi="宋体" w:eastAsia="宋体" w:cs="宋体"/>
          <w:color w:val="auto"/>
          <w:kern w:val="0"/>
          <w:sz w:val="24"/>
          <w:szCs w:val="24"/>
          <w:lang w:val="en-US" w:eastAsia="zh-CN" w:bidi="ar-SA"/>
        </w:rPr>
        <w:t>元；</w:t>
      </w:r>
    </w:p>
    <w:p w14:paraId="72DDEBC1">
      <w:pPr>
        <w:tabs>
          <w:tab w:val="left" w:pos="1497"/>
        </w:tabs>
        <w:spacing w:line="384" w:lineRule="auto"/>
        <w:ind w:firstLine="480" w:firstLineChars="200"/>
        <w:jc w:val="left"/>
        <w:rPr>
          <w:rFonts w:hint="eastAsia" w:ascii="宋体" w:hAnsi="宋体" w:eastAsia="宋体" w:cs="宋体"/>
          <w:color w:val="auto"/>
          <w:sz w:val="24"/>
          <w:szCs w:val="24"/>
          <w:highlight w:val="none"/>
          <w:lang w:val="en-US" w:eastAsia="zh-CN" w:bidi="he-IL"/>
        </w:rPr>
      </w:pPr>
      <w:r>
        <w:rPr>
          <w:rFonts w:hint="eastAsia" w:ascii="宋体" w:hAnsi="宋体" w:cs="宋体"/>
          <w:color w:val="auto"/>
          <w:sz w:val="24"/>
          <w:szCs w:val="24"/>
          <w:highlight w:val="none"/>
          <w:lang w:val="en-US" w:eastAsia="zh-CN" w:bidi="he-IL"/>
        </w:rPr>
        <w:t>1、</w:t>
      </w:r>
      <w:r>
        <w:rPr>
          <w:rFonts w:hint="eastAsia" w:ascii="宋体" w:hAnsi="宋体" w:cs="宋体"/>
          <w:color w:val="auto"/>
          <w:sz w:val="24"/>
          <w:szCs w:val="24"/>
          <w:highlight w:val="none"/>
          <w:lang w:eastAsia="zh-CN" w:bidi="he-IL"/>
        </w:rPr>
        <w:t>依据</w:t>
      </w:r>
      <w:r>
        <w:rPr>
          <w:rFonts w:hint="eastAsia" w:ascii="宋体" w:hAnsi="宋体" w:eastAsia="宋体" w:cs="宋体"/>
          <w:color w:val="auto"/>
          <w:sz w:val="24"/>
          <w:szCs w:val="24"/>
          <w:highlight w:val="none"/>
          <w:lang w:eastAsia="zh-CN" w:bidi="he-IL"/>
        </w:rPr>
        <w:t>中国城市规划协会《城市规划设计计费指导意见》（2004年6月）、《城乡规划设计计费指导意见（2017版征求意见稿）》</w:t>
      </w:r>
      <w:r>
        <w:rPr>
          <w:rFonts w:hint="eastAsia" w:ascii="宋体" w:hAnsi="宋体" w:cs="宋体"/>
          <w:color w:val="auto"/>
          <w:sz w:val="24"/>
          <w:szCs w:val="24"/>
          <w:highlight w:val="none"/>
          <w:lang w:eastAsia="zh-CN" w:bidi="he-IL"/>
        </w:rPr>
        <w:t>、</w:t>
      </w:r>
      <w:r>
        <w:rPr>
          <w:rFonts w:hint="eastAsia" w:ascii="宋体" w:hAnsi="宋体" w:eastAsia="宋体" w:cs="宋体"/>
          <w:color w:val="auto"/>
          <w:sz w:val="24"/>
          <w:szCs w:val="24"/>
          <w:highlight w:val="none"/>
          <w:lang w:eastAsia="zh-CN" w:bidi="he-IL"/>
        </w:rPr>
        <w:t>《西安市城镇开发边界内五大片区详细规划编制计费指引(试行)》（市资源发〔2024〕120号）、《西安市加强国土空间详细规划、实施详细规划、宗地规划许可和“规土评让”一体化组织管理及相关规划计费指引（试行）》（市资源发〔2025〕127号）</w:t>
      </w:r>
      <w:r>
        <w:rPr>
          <w:rFonts w:hint="eastAsia" w:ascii="宋体" w:hAnsi="宋体" w:cs="宋体"/>
          <w:color w:val="auto"/>
          <w:sz w:val="24"/>
          <w:szCs w:val="24"/>
          <w:highlight w:val="none"/>
          <w:lang w:eastAsia="zh-CN" w:bidi="he-IL"/>
        </w:rPr>
        <w:t>等行业标准及政府文件，</w:t>
      </w:r>
      <w:r>
        <w:rPr>
          <w:rFonts w:hint="eastAsia" w:ascii="宋体" w:hAnsi="宋体" w:eastAsia="宋体" w:cs="宋体"/>
          <w:color w:val="auto"/>
          <w:sz w:val="24"/>
          <w:szCs w:val="24"/>
          <w:highlight w:val="none"/>
          <w:lang w:val="en-US" w:eastAsia="zh-CN" w:bidi="he-IL"/>
        </w:rPr>
        <w:t>具体内容包含：</w:t>
      </w:r>
      <w:r>
        <w:rPr>
          <w:rFonts w:hint="eastAsia" w:ascii="宋体" w:hAnsi="宋体" w:eastAsia="宋体" w:cs="宋体"/>
          <w:color w:val="auto"/>
          <w:sz w:val="24"/>
          <w:szCs w:val="24"/>
          <w:highlight w:val="none"/>
          <w:lang w:eastAsia="zh-CN" w:bidi="he-IL"/>
        </w:rPr>
        <w:t>年度土地整备专项与征储供计划、 地块实施详细规划</w:t>
      </w:r>
      <w:r>
        <w:rPr>
          <w:rFonts w:hint="eastAsia" w:ascii="宋体" w:hAnsi="宋体" w:eastAsia="宋体" w:cs="宋体"/>
          <w:color w:val="auto"/>
          <w:sz w:val="24"/>
          <w:szCs w:val="24"/>
          <w:highlight w:val="none"/>
          <w:lang w:val="en-US" w:eastAsia="zh-CN" w:bidi="he-IL"/>
        </w:rPr>
        <w:t>及规土评让</w:t>
      </w:r>
      <w:r>
        <w:rPr>
          <w:rFonts w:hint="eastAsia" w:ascii="宋体" w:hAnsi="宋体" w:eastAsia="宋体" w:cs="宋体"/>
          <w:color w:val="auto"/>
          <w:sz w:val="24"/>
          <w:szCs w:val="24"/>
          <w:highlight w:val="none"/>
          <w:lang w:eastAsia="zh-CN" w:bidi="he-IL"/>
        </w:rPr>
        <w:t>、</w:t>
      </w:r>
      <w:r>
        <w:rPr>
          <w:rFonts w:hint="eastAsia" w:ascii="宋体" w:hAnsi="宋体" w:eastAsia="宋体" w:cs="宋体"/>
          <w:color w:val="auto"/>
          <w:sz w:val="24"/>
          <w:szCs w:val="24"/>
          <w:highlight w:val="none"/>
          <w:lang w:val="en-US" w:eastAsia="zh-CN" w:bidi="he-IL"/>
        </w:rPr>
        <w:t>单元详细规划优化调整、</w:t>
      </w:r>
      <w:r>
        <w:rPr>
          <w:rFonts w:hint="eastAsia" w:ascii="宋体" w:hAnsi="宋体" w:eastAsia="宋体" w:cs="宋体"/>
          <w:color w:val="auto"/>
          <w:sz w:val="24"/>
          <w:szCs w:val="24"/>
          <w:highlight w:val="none"/>
          <w:lang w:eastAsia="zh-CN" w:bidi="he-IL"/>
        </w:rPr>
        <w:t>国土空间规划动态维护、信息数据</w:t>
      </w:r>
      <w:r>
        <w:rPr>
          <w:rFonts w:hint="eastAsia" w:ascii="宋体" w:hAnsi="宋体" w:eastAsia="宋体" w:cs="宋体"/>
          <w:color w:val="auto"/>
          <w:sz w:val="24"/>
          <w:szCs w:val="24"/>
          <w:highlight w:val="none"/>
          <w:lang w:val="en-US" w:eastAsia="zh-CN" w:bidi="he-IL"/>
        </w:rPr>
        <w:t>加工处理</w:t>
      </w:r>
      <w:r>
        <w:rPr>
          <w:rFonts w:hint="eastAsia" w:ascii="宋体" w:hAnsi="宋体" w:eastAsia="宋体" w:cs="宋体"/>
          <w:color w:val="auto"/>
          <w:sz w:val="24"/>
          <w:szCs w:val="24"/>
          <w:highlight w:val="none"/>
          <w:lang w:eastAsia="zh-CN" w:bidi="he-IL"/>
        </w:rPr>
        <w:t>、规划咨询及信息技术咨询服务</w:t>
      </w:r>
      <w:r>
        <w:rPr>
          <w:rFonts w:hint="eastAsia" w:ascii="宋体" w:hAnsi="宋体" w:eastAsia="宋体" w:cs="宋体"/>
          <w:color w:val="auto"/>
          <w:sz w:val="24"/>
          <w:szCs w:val="24"/>
          <w:highlight w:val="none"/>
          <w:lang w:val="en-US" w:eastAsia="zh-CN" w:bidi="he-IL"/>
        </w:rPr>
        <w:t>；下浮率为</w:t>
      </w:r>
      <w:r>
        <w:rPr>
          <w:rFonts w:hint="eastAsia" w:ascii="宋体" w:hAnsi="宋体" w:eastAsia="宋体" w:cs="宋体"/>
          <w:color w:val="auto"/>
          <w:sz w:val="24"/>
          <w:szCs w:val="24"/>
          <w:highlight w:val="none"/>
          <w:u w:val="single"/>
          <w:lang w:val="en-US" w:eastAsia="zh-CN" w:bidi="he-IL"/>
        </w:rPr>
        <w:t xml:space="preserve"> </w:t>
      </w:r>
      <w:r>
        <w:rPr>
          <w:rFonts w:hint="eastAsia" w:ascii="宋体" w:hAnsi="宋体" w:cs="宋体"/>
          <w:color w:val="auto"/>
          <w:sz w:val="24"/>
          <w:szCs w:val="24"/>
          <w:highlight w:val="none"/>
          <w:u w:val="single"/>
          <w:lang w:val="en-US" w:eastAsia="zh-CN" w:bidi="he-IL"/>
        </w:rPr>
        <w:t xml:space="preserve">  </w:t>
      </w:r>
      <w:r>
        <w:rPr>
          <w:rFonts w:hint="eastAsia" w:ascii="宋体" w:hAnsi="宋体" w:eastAsia="宋体" w:cs="宋体"/>
          <w:color w:val="auto"/>
          <w:sz w:val="24"/>
          <w:szCs w:val="24"/>
          <w:highlight w:val="none"/>
          <w:u w:val="single"/>
          <w:lang w:val="en-US" w:eastAsia="zh-CN" w:bidi="he-IL"/>
        </w:rPr>
        <w:t xml:space="preserve">  </w:t>
      </w:r>
      <w:r>
        <w:rPr>
          <w:rFonts w:hint="eastAsia" w:ascii="宋体" w:hAnsi="宋体" w:eastAsia="宋体" w:cs="宋体"/>
          <w:color w:val="auto"/>
          <w:sz w:val="24"/>
          <w:szCs w:val="24"/>
          <w:highlight w:val="none"/>
          <w:lang w:val="en-US" w:eastAsia="zh-CN" w:bidi="he-IL"/>
        </w:rPr>
        <w:t>%</w:t>
      </w:r>
    </w:p>
    <w:p w14:paraId="6EF91B4E">
      <w:pPr>
        <w:tabs>
          <w:tab w:val="left" w:pos="1497"/>
        </w:tabs>
        <w:spacing w:line="384" w:lineRule="auto"/>
        <w:ind w:firstLine="480" w:firstLineChars="200"/>
        <w:jc w:val="left"/>
        <w:rPr>
          <w:rFonts w:hint="eastAsia" w:ascii="宋体" w:hAnsi="宋体" w:eastAsia="宋体" w:cs="宋体"/>
          <w:color w:val="auto"/>
          <w:sz w:val="24"/>
          <w:szCs w:val="24"/>
          <w:highlight w:val="none"/>
          <w:lang w:val="en-US" w:eastAsia="zh-CN" w:bidi="he-IL"/>
        </w:rPr>
      </w:pPr>
      <w:r>
        <w:rPr>
          <w:rFonts w:hint="eastAsia" w:ascii="宋体" w:hAnsi="宋体" w:eastAsia="宋体" w:cs="宋体"/>
          <w:color w:val="auto"/>
          <w:kern w:val="2"/>
          <w:sz w:val="24"/>
          <w:szCs w:val="24"/>
          <w:highlight w:val="none"/>
          <w:lang w:val="en-US" w:eastAsia="zh-CN" w:bidi="he-IL"/>
        </w:rPr>
        <w:t>2、</w:t>
      </w:r>
      <w:r>
        <w:rPr>
          <w:rFonts w:hint="eastAsia" w:ascii="宋体" w:hAnsi="宋体" w:eastAsia="宋体" w:cs="宋体"/>
          <w:color w:val="auto"/>
          <w:sz w:val="24"/>
          <w:szCs w:val="24"/>
          <w:highlight w:val="none"/>
          <w:lang w:val="en-US" w:eastAsia="zh-CN" w:bidi="he-IL"/>
        </w:rPr>
        <w:t>参考国家发展和改革委员会《建设项目前期工作咨询收费暂行规定》（计价格[1999]1283号）</w:t>
      </w:r>
      <w:r>
        <w:rPr>
          <w:rFonts w:hint="eastAsia" w:ascii="宋体" w:hAnsi="宋体" w:cs="宋体"/>
          <w:color w:val="auto"/>
          <w:sz w:val="24"/>
          <w:szCs w:val="24"/>
          <w:highlight w:val="none"/>
          <w:lang w:val="en-US" w:eastAsia="zh-CN" w:bidi="he-IL"/>
        </w:rPr>
        <w:t>、</w:t>
      </w:r>
      <w:r>
        <w:rPr>
          <w:rFonts w:hint="eastAsia" w:ascii="宋体" w:hAnsi="宋体" w:eastAsia="宋体" w:cs="宋体"/>
          <w:color w:val="auto"/>
          <w:sz w:val="24"/>
          <w:szCs w:val="24"/>
          <w:highlight w:val="none"/>
          <w:lang w:eastAsia="zh-CN" w:bidi="he-IL"/>
        </w:rPr>
        <w:t>《城乡规划设计计费指导意见（2017版征求意见稿）》</w:t>
      </w:r>
      <w:r>
        <w:rPr>
          <w:rFonts w:hint="eastAsia" w:ascii="宋体" w:hAnsi="宋体" w:eastAsia="宋体" w:cs="宋体"/>
          <w:color w:val="auto"/>
          <w:sz w:val="24"/>
          <w:szCs w:val="24"/>
          <w:highlight w:val="none"/>
          <w:lang w:val="en-US" w:eastAsia="zh-CN" w:bidi="he-IL"/>
        </w:rPr>
        <w:t>具体内容包含：</w:t>
      </w:r>
      <w:r>
        <w:rPr>
          <w:rFonts w:hint="eastAsia" w:ascii="宋体" w:hAnsi="宋体" w:cs="宋体"/>
          <w:color w:val="auto"/>
          <w:sz w:val="24"/>
          <w:szCs w:val="24"/>
          <w:highlight w:val="none"/>
          <w:lang w:val="en-US" w:eastAsia="zh-CN" w:bidi="he-IL"/>
        </w:rPr>
        <w:t>用地布局研究报告、</w:t>
      </w:r>
      <w:r>
        <w:rPr>
          <w:rFonts w:hint="eastAsia" w:ascii="宋体" w:hAnsi="宋体" w:eastAsia="宋体" w:cs="宋体"/>
          <w:color w:val="auto"/>
          <w:sz w:val="24"/>
          <w:szCs w:val="24"/>
          <w:highlight w:val="none"/>
          <w:lang w:val="en-US" w:eastAsia="zh-CN" w:bidi="he-IL"/>
        </w:rPr>
        <w:t>规划用地研究报告、规划指标论证研究</w:t>
      </w:r>
      <w:r>
        <w:rPr>
          <w:rFonts w:hint="eastAsia" w:ascii="宋体" w:hAnsi="宋体" w:cs="宋体"/>
          <w:color w:val="auto"/>
          <w:sz w:val="24"/>
          <w:szCs w:val="24"/>
          <w:highlight w:val="none"/>
          <w:lang w:val="en-US" w:eastAsia="zh-CN" w:bidi="he-IL"/>
        </w:rPr>
        <w:t>报告</w:t>
      </w:r>
      <w:r>
        <w:rPr>
          <w:rFonts w:hint="eastAsia" w:ascii="宋体" w:hAnsi="宋体" w:eastAsia="宋体" w:cs="宋体"/>
          <w:color w:val="auto"/>
          <w:sz w:val="24"/>
          <w:szCs w:val="24"/>
          <w:highlight w:val="none"/>
          <w:lang w:val="en-US" w:eastAsia="zh-CN" w:bidi="he-IL"/>
        </w:rPr>
        <w:t>、现状评估论证报告；下浮率为</w:t>
      </w:r>
      <w:r>
        <w:rPr>
          <w:rFonts w:hint="eastAsia" w:ascii="宋体" w:hAnsi="宋体" w:eastAsia="宋体" w:cs="宋体"/>
          <w:color w:val="auto"/>
          <w:sz w:val="24"/>
          <w:szCs w:val="24"/>
          <w:highlight w:val="none"/>
          <w:u w:val="single"/>
          <w:lang w:val="en-US" w:eastAsia="zh-CN" w:bidi="he-IL"/>
        </w:rPr>
        <w:t xml:space="preserve">  </w:t>
      </w:r>
      <w:r>
        <w:rPr>
          <w:rFonts w:hint="eastAsia" w:ascii="宋体" w:hAnsi="宋体" w:cs="宋体"/>
          <w:color w:val="auto"/>
          <w:sz w:val="24"/>
          <w:szCs w:val="24"/>
          <w:highlight w:val="none"/>
          <w:u w:val="single"/>
          <w:lang w:val="en-US" w:eastAsia="zh-CN" w:bidi="he-IL"/>
        </w:rPr>
        <w:t xml:space="preserve">  </w:t>
      </w:r>
      <w:r>
        <w:rPr>
          <w:rFonts w:hint="eastAsia" w:ascii="宋体" w:hAnsi="宋体" w:eastAsia="宋体" w:cs="宋体"/>
          <w:color w:val="auto"/>
          <w:sz w:val="24"/>
          <w:szCs w:val="24"/>
          <w:highlight w:val="none"/>
          <w:u w:val="single"/>
          <w:lang w:val="en-US" w:eastAsia="zh-CN" w:bidi="he-IL"/>
        </w:rPr>
        <w:t xml:space="preserve"> </w:t>
      </w:r>
      <w:r>
        <w:rPr>
          <w:rFonts w:hint="eastAsia" w:ascii="宋体" w:hAnsi="宋体" w:eastAsia="宋体" w:cs="宋体"/>
          <w:color w:val="auto"/>
          <w:sz w:val="24"/>
          <w:szCs w:val="24"/>
          <w:highlight w:val="none"/>
          <w:lang w:val="en-US" w:eastAsia="zh-CN" w:bidi="he-IL"/>
        </w:rPr>
        <w:t>%</w:t>
      </w:r>
    </w:p>
    <w:p w14:paraId="634E10C0">
      <w:pPr>
        <w:pStyle w:val="8"/>
        <w:numPr>
          <w:ilvl w:val="0"/>
          <w:numId w:val="0"/>
        </w:numPr>
        <w:spacing w:line="360" w:lineRule="auto"/>
        <w:ind w:left="0" w:firstLine="482" w:firstLineChars="200"/>
        <w:jc w:val="left"/>
        <w:outlineLvl w:val="1"/>
        <w:rPr>
          <w:rFonts w:hint="eastAsia" w:ascii="宋体" w:hAnsi="宋体" w:eastAsia="宋体" w:cs="宋体"/>
          <w:b/>
          <w:bCs/>
          <w:color w:val="auto"/>
          <w:sz w:val="24"/>
          <w:szCs w:val="24"/>
        </w:rPr>
      </w:pPr>
      <w:bookmarkStart w:id="2" w:name="_Toc316"/>
      <w:r>
        <w:rPr>
          <w:rFonts w:hint="eastAsia" w:ascii="宋体" w:hAnsi="宋体" w:cs="宋体"/>
          <w:b/>
          <w:bCs/>
          <w:color w:val="auto"/>
          <w:sz w:val="24"/>
          <w:szCs w:val="24"/>
          <w:lang w:eastAsia="zh-CN"/>
        </w:rPr>
        <w:t>六、结算依据及结算方式</w:t>
      </w:r>
      <w:bookmarkEnd w:id="2"/>
    </w:p>
    <w:p w14:paraId="3EBE3E3B">
      <w:pPr>
        <w:keepNext w:val="0"/>
        <w:keepLines w:val="0"/>
        <w:pageBreakBefore w:val="0"/>
        <w:widowControl w:val="0"/>
        <w:tabs>
          <w:tab w:val="left" w:pos="1497"/>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he-IL"/>
        </w:rPr>
      </w:pPr>
      <w:r>
        <w:rPr>
          <w:rFonts w:hint="eastAsia" w:ascii="宋体" w:hAnsi="宋体" w:eastAsia="宋体" w:cs="宋体"/>
          <w:b w:val="0"/>
          <w:bCs w:val="0"/>
          <w:color w:val="auto"/>
          <w:kern w:val="2"/>
          <w:sz w:val="24"/>
          <w:szCs w:val="24"/>
          <w:highlight w:val="none"/>
          <w:lang w:val="en-US" w:eastAsia="zh-CN" w:bidi="he-IL"/>
        </w:rPr>
        <w:t>(一)根据国家计委 (计价格[2001]1218号) 文规定，参考中国城市规划协会《城市规划设计计费指导意见》(2004年)中规协秘字第022号</w:t>
      </w:r>
      <w:r>
        <w:rPr>
          <w:rFonts w:hint="eastAsia" w:ascii="宋体" w:hAnsi="宋体" w:cs="宋体"/>
          <w:b w:val="0"/>
          <w:bCs w:val="0"/>
          <w:color w:val="auto"/>
          <w:kern w:val="2"/>
          <w:sz w:val="24"/>
          <w:szCs w:val="24"/>
          <w:highlight w:val="none"/>
          <w:lang w:val="en-US" w:eastAsia="zh-CN" w:bidi="he-IL"/>
        </w:rPr>
        <w:t>文件、</w:t>
      </w:r>
      <w:r>
        <w:rPr>
          <w:rFonts w:hint="eastAsia" w:ascii="宋体" w:hAnsi="宋体" w:eastAsia="宋体" w:cs="宋体"/>
          <w:color w:val="auto"/>
          <w:sz w:val="24"/>
          <w:szCs w:val="24"/>
          <w:highlight w:val="none"/>
          <w:lang w:eastAsia="zh-CN" w:bidi="he-IL"/>
        </w:rPr>
        <w:t>《城乡规划设计计费指导意见（2017版征求意见稿）》</w:t>
      </w:r>
      <w:r>
        <w:rPr>
          <w:rFonts w:hint="eastAsia" w:ascii="宋体" w:hAnsi="宋体" w:cs="宋体"/>
          <w:color w:val="auto"/>
          <w:sz w:val="24"/>
          <w:szCs w:val="24"/>
          <w:highlight w:val="none"/>
          <w:lang w:eastAsia="zh-CN" w:bidi="he-IL"/>
        </w:rPr>
        <w:t>、</w:t>
      </w:r>
      <w:r>
        <w:rPr>
          <w:rFonts w:hint="eastAsia" w:ascii="宋体" w:hAnsi="宋体" w:eastAsia="宋体" w:cs="宋体"/>
          <w:color w:val="auto"/>
          <w:sz w:val="24"/>
          <w:szCs w:val="24"/>
          <w:highlight w:val="none"/>
          <w:lang w:eastAsia="zh-CN" w:bidi="he-IL"/>
        </w:rPr>
        <w:t>《西安市城镇开发边界内五大片区详细规划编制计费指引(试行)》（市资源发〔2024〕120号）、《西安市加强国土空间详细规划、实施详细规划、宗地规划许可和“规土评让”一体化组织管理及相关规划计费指引（试行）》（市资源发〔2025〕127号）</w:t>
      </w:r>
      <w:r>
        <w:rPr>
          <w:rFonts w:hint="eastAsia" w:ascii="宋体" w:hAnsi="宋体" w:cs="宋体"/>
          <w:color w:val="auto"/>
          <w:sz w:val="24"/>
          <w:szCs w:val="24"/>
          <w:highlight w:val="none"/>
          <w:lang w:eastAsia="zh-CN" w:bidi="he-IL"/>
        </w:rPr>
        <w:t>、</w:t>
      </w:r>
      <w:r>
        <w:rPr>
          <w:rFonts w:hint="eastAsia" w:ascii="宋体" w:hAnsi="宋体" w:eastAsia="宋体" w:cs="宋体"/>
          <w:color w:val="auto"/>
          <w:sz w:val="24"/>
          <w:szCs w:val="24"/>
          <w:highlight w:val="none"/>
          <w:lang w:val="en-US" w:eastAsia="zh-CN" w:bidi="he-IL"/>
        </w:rPr>
        <w:t>国家发展和改革委员会《建设项目前期工作咨询收费暂行规定》（计价格[1999]1283号）</w:t>
      </w:r>
      <w:r>
        <w:rPr>
          <w:rFonts w:hint="eastAsia" w:ascii="宋体" w:hAnsi="宋体" w:eastAsia="宋体" w:cs="宋体"/>
          <w:b w:val="0"/>
          <w:bCs w:val="0"/>
          <w:color w:val="auto"/>
          <w:kern w:val="2"/>
          <w:sz w:val="24"/>
          <w:szCs w:val="24"/>
          <w:highlight w:val="none"/>
          <w:lang w:val="en-US" w:eastAsia="zh-CN" w:bidi="he-IL"/>
        </w:rPr>
        <w:t>及其他相关文件的基础上，依据中标单位所填报的下浮率据实结算，甲方每笔业务发生时签订《业务委托单》；</w:t>
      </w:r>
    </w:p>
    <w:p w14:paraId="7EE913CC">
      <w:pPr>
        <w:keepNext w:val="0"/>
        <w:keepLines w:val="0"/>
        <w:pageBreakBefore w:val="0"/>
        <w:widowControl w:val="0"/>
        <w:tabs>
          <w:tab w:val="left" w:pos="1497"/>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he-IL"/>
        </w:rPr>
      </w:pPr>
      <w:r>
        <w:rPr>
          <w:rFonts w:hint="eastAsia" w:ascii="宋体" w:hAnsi="宋体" w:eastAsia="宋体" w:cs="宋体"/>
          <w:b w:val="0"/>
          <w:bCs w:val="0"/>
          <w:color w:val="auto"/>
          <w:kern w:val="2"/>
          <w:sz w:val="24"/>
          <w:szCs w:val="24"/>
          <w:highlight w:val="none"/>
          <w:lang w:val="en-US" w:eastAsia="zh-CN" w:bidi="he-IL"/>
        </w:rPr>
        <w:t>(二) 乙方提交的成果经甲方确认合格后，达到付款条件起10个工作日内，甲方应一次性结清相应业务的全部设计费用；</w:t>
      </w:r>
    </w:p>
    <w:p w14:paraId="43147AF3">
      <w:pPr>
        <w:keepNext w:val="0"/>
        <w:keepLines w:val="0"/>
        <w:pageBreakBefore w:val="0"/>
        <w:widowControl w:val="0"/>
        <w:tabs>
          <w:tab w:val="left" w:pos="1497"/>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he-IL"/>
        </w:rPr>
      </w:pPr>
      <w:r>
        <w:rPr>
          <w:rFonts w:hint="eastAsia" w:ascii="宋体" w:hAnsi="宋体" w:eastAsia="宋体" w:cs="宋体"/>
          <w:b w:val="0"/>
          <w:bCs w:val="0"/>
          <w:color w:val="auto"/>
          <w:kern w:val="2"/>
          <w:sz w:val="24"/>
          <w:szCs w:val="24"/>
          <w:highlight w:val="none"/>
          <w:lang w:val="en-US" w:eastAsia="zh-CN" w:bidi="he-IL"/>
        </w:rPr>
        <w:t>(三) 甲方每次支付上述费用前，由乙方提供甲方财务认可的正式税务发票或票据</w:t>
      </w:r>
      <w:r>
        <w:rPr>
          <w:rFonts w:hint="eastAsia" w:ascii="宋体" w:hAnsi="宋体" w:cs="宋体"/>
          <w:b w:val="0"/>
          <w:bCs w:val="0"/>
          <w:color w:val="auto"/>
          <w:kern w:val="2"/>
          <w:sz w:val="24"/>
          <w:szCs w:val="24"/>
          <w:highlight w:val="none"/>
          <w:lang w:val="en-US" w:eastAsia="zh-CN" w:bidi="he-IL"/>
        </w:rPr>
        <w:t>。</w:t>
      </w:r>
    </w:p>
    <w:p w14:paraId="7E789349">
      <w:pPr>
        <w:pStyle w:val="8"/>
        <w:numPr>
          <w:ilvl w:val="0"/>
          <w:numId w:val="0"/>
        </w:numPr>
        <w:spacing w:line="360" w:lineRule="auto"/>
        <w:ind w:left="0" w:firstLine="482" w:firstLineChars="200"/>
        <w:jc w:val="left"/>
        <w:outlineLvl w:val="1"/>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七、承担业务的技术团队配备</w:t>
      </w:r>
    </w:p>
    <w:p w14:paraId="346DFBCA">
      <w:pPr>
        <w:pStyle w:val="2"/>
        <w:numPr>
          <w:ilvl w:val="-1"/>
          <w:numId w:val="0"/>
        </w:numPr>
        <w:spacing w:beforeLines="0" w:after="0" w:line="360" w:lineRule="auto"/>
        <w:ind w:firstLine="480" w:firstLineChars="200"/>
        <w:rPr>
          <w:rFonts w:hint="eastAsia" w:ascii="宋体" w:hAnsi="宋体" w:eastAsia="宋体" w:cs="宋体"/>
          <w:b w:val="0"/>
          <w:bCs w:val="0"/>
          <w:color w:val="auto"/>
          <w:kern w:val="2"/>
          <w:sz w:val="24"/>
          <w:szCs w:val="24"/>
          <w:highlight w:val="none"/>
          <w:lang w:val="en-US" w:eastAsia="zh-CN" w:bidi="he-IL"/>
        </w:rPr>
      </w:pPr>
      <w:r>
        <w:rPr>
          <w:rFonts w:hint="eastAsia" w:ascii="宋体" w:hAnsi="宋体" w:eastAsia="宋体" w:cs="宋体"/>
          <w:b w:val="0"/>
          <w:bCs w:val="0"/>
          <w:color w:val="auto"/>
          <w:kern w:val="2"/>
          <w:sz w:val="24"/>
          <w:szCs w:val="24"/>
          <w:highlight w:val="none"/>
          <w:lang w:val="en-US" w:eastAsia="zh-CN" w:bidi="he-IL"/>
        </w:rPr>
        <w:t>1、项目负责人：</w:t>
      </w:r>
      <w:r>
        <w:rPr>
          <w:rFonts w:hint="eastAsia" w:ascii="宋体" w:hAnsi="宋体" w:eastAsia="宋体" w:cs="宋体"/>
          <w:b w:val="0"/>
          <w:bCs w:val="0"/>
          <w:color w:val="auto"/>
          <w:kern w:val="2"/>
          <w:sz w:val="24"/>
          <w:szCs w:val="24"/>
          <w:highlight w:val="none"/>
          <w:u w:val="single"/>
          <w:lang w:val="en-US" w:eastAsia="zh-CN" w:bidi="he-IL"/>
        </w:rPr>
        <w:t xml:space="preserve">                   </w:t>
      </w:r>
      <w:r>
        <w:rPr>
          <w:rFonts w:hint="eastAsia" w:ascii="宋体" w:hAnsi="宋体" w:eastAsia="宋体" w:cs="宋体"/>
          <w:b w:val="0"/>
          <w:bCs w:val="0"/>
          <w:color w:val="auto"/>
          <w:kern w:val="2"/>
          <w:sz w:val="24"/>
          <w:szCs w:val="24"/>
          <w:highlight w:val="none"/>
          <w:lang w:val="en-US" w:eastAsia="zh-CN" w:bidi="he-IL"/>
        </w:rPr>
        <w:t>；联系电话：</w:t>
      </w:r>
      <w:r>
        <w:rPr>
          <w:rFonts w:hint="eastAsia" w:ascii="宋体" w:hAnsi="宋体" w:eastAsia="宋体" w:cs="宋体"/>
          <w:b w:val="0"/>
          <w:bCs w:val="0"/>
          <w:color w:val="auto"/>
          <w:kern w:val="2"/>
          <w:sz w:val="24"/>
          <w:szCs w:val="24"/>
          <w:highlight w:val="none"/>
          <w:u w:val="single"/>
          <w:lang w:val="en-US" w:eastAsia="zh-CN" w:bidi="he-IL"/>
        </w:rPr>
        <w:t xml:space="preserve">   </w:t>
      </w:r>
      <w:r>
        <w:rPr>
          <w:rFonts w:hint="eastAsia" w:ascii="宋体" w:hAnsi="宋体" w:cs="宋体"/>
          <w:b w:val="0"/>
          <w:bCs w:val="0"/>
          <w:color w:val="auto"/>
          <w:kern w:val="2"/>
          <w:sz w:val="24"/>
          <w:szCs w:val="24"/>
          <w:highlight w:val="none"/>
          <w:u w:val="single"/>
          <w:lang w:val="en-US" w:eastAsia="zh-CN" w:bidi="he-IL"/>
        </w:rPr>
        <w:t xml:space="preserve">  </w:t>
      </w:r>
      <w:r>
        <w:rPr>
          <w:rFonts w:hint="eastAsia" w:ascii="宋体" w:hAnsi="宋体" w:eastAsia="宋体" w:cs="宋体"/>
          <w:b w:val="0"/>
          <w:bCs w:val="0"/>
          <w:color w:val="auto"/>
          <w:kern w:val="2"/>
          <w:sz w:val="24"/>
          <w:szCs w:val="24"/>
          <w:highlight w:val="none"/>
          <w:u w:val="single"/>
          <w:lang w:val="en-US" w:eastAsia="zh-CN" w:bidi="he-IL"/>
        </w:rPr>
        <w:t xml:space="preserve">             </w:t>
      </w:r>
      <w:r>
        <w:rPr>
          <w:rFonts w:hint="eastAsia" w:ascii="宋体" w:hAnsi="宋体" w:cs="宋体"/>
          <w:b w:val="0"/>
          <w:bCs w:val="0"/>
          <w:color w:val="auto"/>
          <w:kern w:val="2"/>
          <w:sz w:val="24"/>
          <w:szCs w:val="24"/>
          <w:highlight w:val="none"/>
          <w:u w:val="none"/>
          <w:lang w:val="en-US" w:eastAsia="zh-CN" w:bidi="he-IL"/>
        </w:rPr>
        <w:t>；</w:t>
      </w:r>
    </w:p>
    <w:p w14:paraId="558F8C28">
      <w:pPr>
        <w:pStyle w:val="2"/>
        <w:numPr>
          <w:ilvl w:val="-1"/>
          <w:numId w:val="0"/>
        </w:numPr>
        <w:spacing w:beforeLines="0" w:after="0" w:line="360" w:lineRule="auto"/>
        <w:ind w:firstLine="0" w:firstLineChars="0"/>
        <w:rPr>
          <w:rFonts w:hint="eastAsia" w:ascii="宋体" w:hAnsi="宋体" w:eastAsia="宋体" w:cs="宋体"/>
          <w:b w:val="0"/>
          <w:bCs w:val="0"/>
          <w:color w:val="auto"/>
          <w:kern w:val="2"/>
          <w:sz w:val="24"/>
          <w:szCs w:val="24"/>
          <w:highlight w:val="none"/>
          <w:lang w:val="en-US" w:eastAsia="zh-CN" w:bidi="he-IL"/>
        </w:rPr>
      </w:pPr>
      <w:r>
        <w:rPr>
          <w:rFonts w:hint="eastAsia" w:ascii="宋体" w:hAnsi="宋体" w:eastAsia="宋体" w:cs="宋体"/>
          <w:b w:val="0"/>
          <w:bCs w:val="0"/>
          <w:color w:val="auto"/>
          <w:kern w:val="2"/>
          <w:sz w:val="24"/>
          <w:szCs w:val="24"/>
          <w:highlight w:val="none"/>
          <w:lang w:val="en-US" w:eastAsia="zh-CN" w:bidi="he-IL"/>
        </w:rPr>
        <w:t xml:space="preserve">    2、技术团队配备：</w:t>
      </w:r>
      <w:r>
        <w:rPr>
          <w:rFonts w:hint="eastAsia" w:ascii="宋体" w:hAnsi="宋体" w:eastAsia="宋体" w:cs="宋体"/>
          <w:b w:val="0"/>
          <w:bCs w:val="0"/>
          <w:color w:val="auto"/>
          <w:kern w:val="2"/>
          <w:sz w:val="24"/>
          <w:szCs w:val="24"/>
          <w:highlight w:val="none"/>
          <w:u w:val="single"/>
          <w:lang w:val="en-US" w:eastAsia="zh-CN" w:bidi="he-IL"/>
        </w:rPr>
        <w:t xml:space="preserve">                                                </w:t>
      </w:r>
      <w:r>
        <w:rPr>
          <w:rFonts w:hint="eastAsia" w:ascii="宋体" w:hAnsi="宋体" w:cs="宋体"/>
          <w:b w:val="0"/>
          <w:bCs w:val="0"/>
          <w:color w:val="auto"/>
          <w:kern w:val="2"/>
          <w:sz w:val="24"/>
          <w:szCs w:val="24"/>
          <w:highlight w:val="none"/>
          <w:lang w:val="en-US" w:eastAsia="zh-CN" w:bidi="he-IL"/>
        </w:rPr>
        <w:t>；</w:t>
      </w:r>
    </w:p>
    <w:p w14:paraId="52F721F9">
      <w:pPr>
        <w:pStyle w:val="8"/>
        <w:numPr>
          <w:ilvl w:val="0"/>
          <w:numId w:val="0"/>
        </w:numPr>
        <w:spacing w:line="360" w:lineRule="auto"/>
        <w:ind w:left="0" w:firstLine="482" w:firstLineChars="200"/>
        <w:jc w:val="left"/>
        <w:outlineLvl w:val="1"/>
        <w:rPr>
          <w:rFonts w:hint="eastAsia" w:ascii="宋体" w:hAnsi="宋体" w:eastAsia="宋体" w:cs="宋体"/>
          <w:b/>
          <w:bCs/>
          <w:color w:val="auto"/>
          <w:sz w:val="24"/>
          <w:szCs w:val="24"/>
        </w:rPr>
      </w:pPr>
      <w:bookmarkStart w:id="3" w:name="_Toc15811"/>
      <w:r>
        <w:rPr>
          <w:rFonts w:hint="eastAsia" w:ascii="宋体" w:hAnsi="宋体" w:cs="宋体"/>
          <w:b/>
          <w:bCs/>
          <w:color w:val="auto"/>
          <w:sz w:val="24"/>
          <w:szCs w:val="24"/>
          <w:lang w:eastAsia="zh-CN"/>
        </w:rPr>
        <w:t>八、</w:t>
      </w:r>
      <w:r>
        <w:rPr>
          <w:rFonts w:hint="eastAsia" w:ascii="宋体" w:hAnsi="宋体" w:eastAsia="宋体" w:cs="宋体"/>
          <w:b/>
          <w:bCs/>
          <w:color w:val="auto"/>
          <w:sz w:val="24"/>
          <w:szCs w:val="24"/>
        </w:rPr>
        <w:t>甲方责任</w:t>
      </w:r>
      <w:bookmarkEnd w:id="3"/>
    </w:p>
    <w:p w14:paraId="700E561C">
      <w:pPr>
        <w:numPr>
          <w:ilvl w:val="0"/>
          <w:numId w:val="3"/>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甲方必须在合同签订后5个工作日内提供基础资料及设计要求，若提交时间超过约定期限，乙方可相应分别延迟提交各阶段规划设计成果。甲方需对提供的基础资料负责，并做好现场服务工作。</w:t>
      </w:r>
    </w:p>
    <w:p w14:paraId="4927651F">
      <w:pPr>
        <w:numPr>
          <w:ilvl w:val="0"/>
          <w:numId w:val="3"/>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甲方应协助乙方征询有关方面的意见，并在规划设计过程中做好有关部门的协调工作。甲方负责组织规划方案评审、报批，在每阶段汇报讨论后应按合同要求及时出具书面意见。</w:t>
      </w:r>
    </w:p>
    <w:p w14:paraId="396E709D">
      <w:pPr>
        <w:numPr>
          <w:ilvl w:val="0"/>
          <w:numId w:val="3"/>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甲方应根据合同规定如期支付规划设计费。</w:t>
      </w:r>
    </w:p>
    <w:p w14:paraId="0327E85D">
      <w:pPr>
        <w:numPr>
          <w:ilvl w:val="0"/>
          <w:numId w:val="3"/>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甲方变更设计范围、内容和深度 (变更量超过15％)或因提交的资料错误或提交的资料作较大修改以致造成乙方要返工时，双方需另行协商签订补充协议，调整原合同中有关条款，增付返工及新增规划设计内容的费用。如协商不成，甲方应按乙方已完成的设计内容支付相应的设计费用。</w:t>
      </w:r>
    </w:p>
    <w:p w14:paraId="7151E7DA">
      <w:pPr>
        <w:pStyle w:val="8"/>
        <w:numPr>
          <w:ilvl w:val="0"/>
          <w:numId w:val="0"/>
        </w:numPr>
        <w:spacing w:line="360" w:lineRule="auto"/>
        <w:ind w:left="0" w:firstLine="482" w:firstLineChars="200"/>
        <w:jc w:val="left"/>
        <w:outlineLvl w:val="1"/>
        <w:rPr>
          <w:rFonts w:hint="eastAsia" w:ascii="宋体" w:hAnsi="宋体" w:eastAsia="宋体" w:cs="宋体"/>
          <w:b/>
          <w:bCs/>
          <w:color w:val="auto"/>
          <w:sz w:val="24"/>
          <w:szCs w:val="24"/>
        </w:rPr>
      </w:pPr>
      <w:bookmarkStart w:id="4" w:name="_Toc15595"/>
      <w:r>
        <w:rPr>
          <w:rFonts w:hint="eastAsia" w:ascii="宋体" w:hAnsi="宋体" w:cs="宋体"/>
          <w:b/>
          <w:bCs/>
          <w:color w:val="auto"/>
          <w:sz w:val="24"/>
          <w:szCs w:val="24"/>
          <w:lang w:eastAsia="zh-CN"/>
        </w:rPr>
        <w:t>九、</w:t>
      </w:r>
      <w:r>
        <w:rPr>
          <w:rFonts w:hint="eastAsia" w:ascii="宋体" w:hAnsi="宋体" w:eastAsia="宋体" w:cs="宋体"/>
          <w:b/>
          <w:bCs/>
          <w:color w:val="auto"/>
          <w:sz w:val="24"/>
          <w:szCs w:val="24"/>
        </w:rPr>
        <w:t>乙方责任</w:t>
      </w:r>
      <w:bookmarkEnd w:id="4"/>
    </w:p>
    <w:p w14:paraId="5A75C57B">
      <w:pPr>
        <w:numPr>
          <w:ilvl w:val="0"/>
          <w:numId w:val="4"/>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乙方应按国家和地方有关法律、技术规范标准，以及合同约定的工作内容进行规划设计。</w:t>
      </w:r>
    </w:p>
    <w:p w14:paraId="0B45EF50">
      <w:pPr>
        <w:numPr>
          <w:ilvl w:val="0"/>
          <w:numId w:val="4"/>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乙方应按合同规定向有关部门的汇报，负责提供所需的汇报资料。应按合同规定的进度、提交质量合格的规划设计成果，并对其负责。涉及专家评审会的相关费用由乙方承担。</w:t>
      </w:r>
    </w:p>
    <w:p w14:paraId="34044DC7">
      <w:pPr>
        <w:numPr>
          <w:ilvl w:val="0"/>
          <w:numId w:val="4"/>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乙方对甲方所提供的涉密资料承担保密义务。乙方按本合同规定编制的规划乙方案及各种成果资料，不得向其他单位提供和转让。(法律另有规定的除外)</w:t>
      </w:r>
    </w:p>
    <w:p w14:paraId="5F48A0AA">
      <w:pPr>
        <w:numPr>
          <w:ilvl w:val="0"/>
          <w:numId w:val="4"/>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对规划设计成果中的遗漏、差错应负责进行修改或补充，同时要根据甲方按政府部门审批过程中提出的修改意见和专家评审意见拟定的修改意见书进行修改(修改仅仅针对本合同规定的规划设计内容范围内的内容)。如超出本合同规定的规划设计内容、甲乙双方需另行协商签订补充协议，就超出范围的修改内容的完成时间、新增费用等做出规定。</w:t>
      </w:r>
    </w:p>
    <w:p w14:paraId="24FB0C00">
      <w:pPr>
        <w:pStyle w:val="8"/>
        <w:numPr>
          <w:ilvl w:val="0"/>
          <w:numId w:val="0"/>
        </w:numPr>
        <w:spacing w:line="360" w:lineRule="auto"/>
        <w:ind w:left="0" w:firstLine="482" w:firstLineChars="200"/>
        <w:jc w:val="left"/>
        <w:outlineLvl w:val="1"/>
        <w:rPr>
          <w:rFonts w:hint="eastAsia" w:ascii="宋体" w:hAnsi="宋体" w:eastAsia="宋体" w:cs="宋体"/>
          <w:b/>
          <w:bCs/>
          <w:color w:val="auto"/>
          <w:sz w:val="24"/>
          <w:szCs w:val="24"/>
        </w:rPr>
      </w:pPr>
      <w:bookmarkStart w:id="5" w:name="_Toc23847"/>
      <w:r>
        <w:rPr>
          <w:rFonts w:hint="eastAsia" w:ascii="宋体" w:hAnsi="宋体" w:cs="宋体"/>
          <w:b/>
          <w:bCs/>
          <w:color w:val="auto"/>
          <w:sz w:val="24"/>
          <w:szCs w:val="24"/>
          <w:lang w:eastAsia="zh-CN"/>
        </w:rPr>
        <w:t>十、</w:t>
      </w:r>
      <w:r>
        <w:rPr>
          <w:rFonts w:hint="eastAsia" w:ascii="宋体" w:hAnsi="宋体" w:eastAsia="宋体" w:cs="宋体"/>
          <w:b/>
          <w:bCs/>
          <w:color w:val="auto"/>
          <w:sz w:val="24"/>
          <w:szCs w:val="24"/>
        </w:rPr>
        <w:t>违约责任</w:t>
      </w:r>
      <w:bookmarkEnd w:id="5"/>
    </w:p>
    <w:p w14:paraId="551AB02B">
      <w:pPr>
        <w:numPr>
          <w:ilvl w:val="0"/>
          <w:numId w:val="5"/>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在合同生效七个工作日以后，甲方或乙方要求终止或解除合同，双方应协商处理，并就终止或解除合同达成一致。</w:t>
      </w:r>
    </w:p>
    <w:p w14:paraId="2F07BCB1">
      <w:pPr>
        <w:numPr>
          <w:ilvl w:val="0"/>
          <w:numId w:val="5"/>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因甲方原因,造成项目延期或中止,甲方应出具书面说明,责任由甲方承担，并与乙方协商处理办法。</w:t>
      </w:r>
    </w:p>
    <w:p w14:paraId="210B4CB2">
      <w:pPr>
        <w:pStyle w:val="8"/>
        <w:numPr>
          <w:ilvl w:val="0"/>
          <w:numId w:val="0"/>
        </w:numPr>
        <w:spacing w:line="360" w:lineRule="auto"/>
        <w:ind w:left="0" w:firstLine="482" w:firstLineChars="200"/>
        <w:jc w:val="left"/>
        <w:outlineLvl w:val="1"/>
        <w:rPr>
          <w:rFonts w:hint="eastAsia" w:ascii="宋体" w:hAnsi="宋体" w:eastAsia="宋体" w:cs="宋体"/>
          <w:b/>
          <w:bCs/>
          <w:color w:val="auto"/>
          <w:sz w:val="24"/>
          <w:szCs w:val="24"/>
        </w:rPr>
      </w:pPr>
      <w:bookmarkStart w:id="6" w:name="_Toc12164"/>
      <w:r>
        <w:rPr>
          <w:rFonts w:hint="eastAsia" w:ascii="宋体" w:hAnsi="宋体" w:cs="宋体"/>
          <w:b/>
          <w:bCs/>
          <w:color w:val="auto"/>
          <w:sz w:val="24"/>
          <w:szCs w:val="24"/>
          <w:lang w:eastAsia="zh-CN"/>
        </w:rPr>
        <w:t>十一、</w:t>
      </w:r>
      <w:r>
        <w:rPr>
          <w:rFonts w:hint="eastAsia" w:ascii="宋体" w:hAnsi="宋体" w:eastAsia="宋体" w:cs="宋体"/>
          <w:b/>
          <w:bCs/>
          <w:color w:val="auto"/>
          <w:sz w:val="24"/>
          <w:szCs w:val="24"/>
        </w:rPr>
        <w:t>争议解决方式</w:t>
      </w:r>
      <w:bookmarkEnd w:id="6"/>
    </w:p>
    <w:p w14:paraId="4804EE0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本合同产生的争议，由双方协商解决；协商不成的，双方同意将争议提交项目所在地法院审理。</w:t>
      </w:r>
    </w:p>
    <w:p w14:paraId="685B08CB">
      <w:pPr>
        <w:pStyle w:val="8"/>
        <w:numPr>
          <w:ilvl w:val="0"/>
          <w:numId w:val="0"/>
        </w:numPr>
        <w:spacing w:line="360" w:lineRule="auto"/>
        <w:ind w:left="0" w:firstLine="482" w:firstLineChars="200"/>
        <w:jc w:val="left"/>
        <w:rPr>
          <w:rFonts w:hint="eastAsia" w:ascii="宋体" w:hAnsi="宋体" w:eastAsia="宋体" w:cs="宋体"/>
          <w:b/>
          <w:bCs/>
          <w:color w:val="auto"/>
          <w:sz w:val="24"/>
          <w:szCs w:val="24"/>
        </w:rPr>
      </w:pPr>
      <w:r>
        <w:rPr>
          <w:rFonts w:hint="eastAsia" w:ascii="宋体" w:hAnsi="宋体" w:cs="宋体"/>
          <w:b/>
          <w:bCs/>
          <w:color w:val="auto"/>
          <w:sz w:val="24"/>
          <w:szCs w:val="24"/>
          <w:lang w:eastAsia="zh-CN"/>
        </w:rPr>
        <w:t>十二、</w:t>
      </w:r>
      <w:r>
        <w:rPr>
          <w:rFonts w:hint="eastAsia" w:ascii="宋体" w:hAnsi="宋体" w:eastAsia="宋体" w:cs="宋体"/>
          <w:b/>
          <w:bCs/>
          <w:color w:val="auto"/>
          <w:sz w:val="24"/>
          <w:szCs w:val="24"/>
        </w:rPr>
        <w:t>其他</w:t>
      </w:r>
    </w:p>
    <w:p w14:paraId="3FF8F1F6">
      <w:pPr>
        <w:numPr>
          <w:ilvl w:val="0"/>
          <w:numId w:val="6"/>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本合同由甲、乙双方签字、盖章后生效。</w:t>
      </w:r>
    </w:p>
    <w:p w14:paraId="64D0149E">
      <w:pPr>
        <w:numPr>
          <w:ilvl w:val="0"/>
          <w:numId w:val="6"/>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在合同约定期内因各种原因未能如期履行完毕，双方应友好协商另行约定合同有效期限。</w:t>
      </w:r>
    </w:p>
    <w:p w14:paraId="1C47C420">
      <w:pPr>
        <w:keepNext w:val="0"/>
        <w:keepLines w:val="0"/>
        <w:pageBreakBefore w:val="0"/>
        <w:widowControl w:val="0"/>
        <w:numPr>
          <w:ilvl w:val="0"/>
          <w:numId w:val="6"/>
        </w:numPr>
        <w:kinsoku/>
        <w:wordWrap/>
        <w:overflowPunct/>
        <w:topLinePunct w:val="0"/>
        <w:bidi w:val="0"/>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本合同未尽事宜，双方可签订补充合同。对本合同的修改与变更，必须经甲乙双方签署书面协议方可生效。</w:t>
      </w:r>
    </w:p>
    <w:p w14:paraId="0A32ABF6">
      <w:pPr>
        <w:keepNext w:val="0"/>
        <w:keepLines w:val="0"/>
        <w:pageBreakBefore w:val="0"/>
        <w:widowControl w:val="0"/>
        <w:numPr>
          <w:ilvl w:val="0"/>
          <w:numId w:val="6"/>
        </w:numPr>
        <w:kinsoku/>
        <w:wordWrap/>
        <w:overflowPunct/>
        <w:topLinePunct w:val="0"/>
        <w:bidi w:val="0"/>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具体业务以双方确认的《业务委托单》为准，《业务委托单》与本合同具有同等效力。</w:t>
      </w:r>
    </w:p>
    <w:p w14:paraId="7F373651">
      <w:pPr>
        <w:keepNext w:val="0"/>
        <w:keepLines w:val="0"/>
        <w:pageBreakBefore w:val="0"/>
        <w:widowControl w:val="0"/>
        <w:numPr>
          <w:ilvl w:val="0"/>
          <w:numId w:val="6"/>
        </w:numPr>
        <w:kinsoku/>
        <w:wordWrap/>
        <w:overflowPunct/>
        <w:topLinePunct w:val="0"/>
        <w:bidi w:val="0"/>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本合同一式陆份，甲方执叁份、乙方执叁份，具同等效力。</w:t>
      </w:r>
    </w:p>
    <w:p w14:paraId="75AEC0DB">
      <w:pPr>
        <w:pStyle w:val="10"/>
        <w:keepNext w:val="0"/>
        <w:keepLines w:val="0"/>
        <w:pageBreakBefore w:val="0"/>
        <w:widowControl w:val="0"/>
        <w:kinsoku/>
        <w:wordWrap/>
        <w:overflowPunct/>
        <w:topLinePunct w:val="0"/>
        <w:bidi w:val="0"/>
        <w:snapToGrid w:val="0"/>
        <w:spacing w:line="480" w:lineRule="exact"/>
        <w:ind w:firstLineChars="200"/>
        <w:jc w:val="both"/>
        <w:rPr>
          <w:rFonts w:hint="eastAsia" w:ascii="宋体" w:hAnsi="宋体" w:eastAsia="宋体" w:cs="宋体"/>
          <w:color w:val="auto"/>
          <w:szCs w:val="24"/>
        </w:rPr>
      </w:pPr>
      <w:r>
        <w:rPr>
          <w:rFonts w:hint="eastAsia" w:ascii="宋体" w:hAnsi="宋体" w:eastAsia="宋体" w:cs="宋体"/>
          <w:color w:val="auto"/>
          <w:sz w:val="24"/>
          <w:szCs w:val="24"/>
        </w:rPr>
        <w:t>本合同自双方签字盖章之日起生效，双方履行完合同规定的义务后，本合同即行终止。</w:t>
      </w:r>
      <w:r>
        <w:rPr>
          <w:rFonts w:hint="eastAsia" w:ascii="宋体" w:hAnsi="宋体" w:eastAsia="宋体" w:cs="宋体"/>
          <w:color w:val="auto"/>
          <w:szCs w:val="24"/>
        </w:rPr>
        <w:t>（本页以下无正文）</w:t>
      </w:r>
    </w:p>
    <w:p w14:paraId="352526F3">
      <w:pPr>
        <w:adjustRightInd w:val="0"/>
        <w:snapToGrid w:val="0"/>
        <w:spacing w:line="360" w:lineRule="auto"/>
        <w:rPr>
          <w:rFonts w:ascii="宋体" w:hAnsi="宋体"/>
          <w:color w:val="auto"/>
          <w:kern w:val="0"/>
          <w:sz w:val="24"/>
        </w:rPr>
      </w:pPr>
    </w:p>
    <w:p w14:paraId="5EE38A29">
      <w:pPr>
        <w:rPr>
          <w:rFonts w:hint="eastAsia" w:ascii="宋体" w:hAnsi="宋体"/>
          <w:color w:val="auto"/>
          <w:kern w:val="0"/>
          <w:sz w:val="24"/>
        </w:rPr>
      </w:pPr>
    </w:p>
    <w:p w14:paraId="2DC57485">
      <w:pPr>
        <w:adjustRightInd w:val="0"/>
        <w:snapToGrid w:val="0"/>
        <w:spacing w:line="360" w:lineRule="auto"/>
        <w:rPr>
          <w:rFonts w:hint="eastAsia" w:ascii="宋体" w:hAnsi="宋体"/>
          <w:color w:val="auto"/>
          <w:kern w:val="0"/>
          <w:sz w:val="24"/>
        </w:rPr>
      </w:pPr>
    </w:p>
    <w:tbl>
      <w:tblPr>
        <w:tblStyle w:val="4"/>
        <w:tblW w:w="8540" w:type="dxa"/>
        <w:tblInd w:w="0" w:type="dxa"/>
        <w:tblLayout w:type="fixed"/>
        <w:tblCellMar>
          <w:top w:w="0" w:type="dxa"/>
          <w:left w:w="108" w:type="dxa"/>
          <w:bottom w:w="0" w:type="dxa"/>
          <w:right w:w="108" w:type="dxa"/>
        </w:tblCellMar>
      </w:tblPr>
      <w:tblGrid>
        <w:gridCol w:w="4270"/>
        <w:gridCol w:w="4270"/>
      </w:tblGrid>
      <w:tr w14:paraId="3F71E978">
        <w:tblPrEx>
          <w:tblCellMar>
            <w:top w:w="0" w:type="dxa"/>
            <w:left w:w="108" w:type="dxa"/>
            <w:bottom w:w="0" w:type="dxa"/>
            <w:right w:w="108" w:type="dxa"/>
          </w:tblCellMar>
        </w:tblPrEx>
        <w:trPr>
          <w:trHeight w:val="2671" w:hRule="atLeast"/>
        </w:trPr>
        <w:tc>
          <w:tcPr>
            <w:tcW w:w="4270" w:type="dxa"/>
            <w:noWrap w:val="0"/>
            <w:vAlign w:val="top"/>
          </w:tcPr>
          <w:p w14:paraId="4E46E0A9">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委托方单位名称:</w:t>
            </w:r>
          </w:p>
          <w:p w14:paraId="7D18466C">
            <w:pPr>
              <w:adjustRightInd w:val="0"/>
              <w:snapToGrid w:val="0"/>
              <w:spacing w:line="360" w:lineRule="auto"/>
              <w:rPr>
                <w:rFonts w:hint="eastAsia" w:ascii="宋体" w:hAnsi="宋体"/>
                <w:color w:val="auto"/>
                <w:kern w:val="0"/>
                <w:sz w:val="24"/>
              </w:rPr>
            </w:pPr>
            <w:r>
              <w:rPr>
                <w:rFonts w:hint="eastAsia" w:ascii="宋体" w:hAnsi="宋体"/>
                <w:color w:val="auto"/>
                <w:kern w:val="0"/>
                <w:sz w:val="24"/>
                <w:lang w:eastAsia="zh-CN"/>
              </w:rPr>
              <w:t>西安市自然资源和规划局雁塔分局</w:t>
            </w:r>
          </w:p>
          <w:p w14:paraId="29EC0AA6">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（盖章）</w:t>
            </w:r>
          </w:p>
          <w:p w14:paraId="3B4A5CE0">
            <w:pPr>
              <w:pStyle w:val="11"/>
              <w:snapToGrid w:val="0"/>
              <w:spacing w:line="360" w:lineRule="auto"/>
              <w:ind w:firstLine="0"/>
              <w:jc w:val="both"/>
              <w:outlineLvl w:val="0"/>
              <w:rPr>
                <w:rFonts w:hint="eastAsia" w:ascii="宋体" w:hAnsi="宋体" w:eastAsia="宋体"/>
                <w:b/>
                <w:bCs/>
                <w:color w:val="auto"/>
                <w:sz w:val="24"/>
                <w:szCs w:val="24"/>
              </w:rPr>
            </w:pPr>
          </w:p>
        </w:tc>
        <w:tc>
          <w:tcPr>
            <w:tcW w:w="4270" w:type="dxa"/>
            <w:noWrap w:val="0"/>
            <w:vAlign w:val="top"/>
          </w:tcPr>
          <w:p w14:paraId="6D4AA049">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承接方单位名称:</w:t>
            </w:r>
          </w:p>
          <w:p w14:paraId="159295AB">
            <w:pPr>
              <w:adjustRightInd w:val="0"/>
              <w:snapToGrid w:val="0"/>
              <w:spacing w:line="360" w:lineRule="auto"/>
              <w:rPr>
                <w:rFonts w:hint="eastAsia" w:ascii="宋体" w:hAnsi="宋体"/>
                <w:color w:val="auto"/>
                <w:kern w:val="0"/>
                <w:sz w:val="24"/>
              </w:rPr>
            </w:pPr>
          </w:p>
          <w:p w14:paraId="6C1E24D8">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（盖章）</w:t>
            </w:r>
          </w:p>
          <w:p w14:paraId="09EC7916">
            <w:pPr>
              <w:adjustRightInd w:val="0"/>
              <w:snapToGrid w:val="0"/>
              <w:spacing w:line="360" w:lineRule="auto"/>
              <w:rPr>
                <w:rFonts w:hint="eastAsia" w:ascii="宋体" w:hAnsi="宋体"/>
                <w:color w:val="auto"/>
                <w:kern w:val="0"/>
                <w:sz w:val="24"/>
              </w:rPr>
            </w:pPr>
          </w:p>
        </w:tc>
      </w:tr>
      <w:tr w14:paraId="4B0BB73C">
        <w:tblPrEx>
          <w:tblCellMar>
            <w:top w:w="0" w:type="dxa"/>
            <w:left w:w="108" w:type="dxa"/>
            <w:bottom w:w="0" w:type="dxa"/>
            <w:right w:w="108" w:type="dxa"/>
          </w:tblCellMar>
        </w:tblPrEx>
        <w:trPr>
          <w:trHeight w:val="888" w:hRule="atLeast"/>
        </w:trPr>
        <w:tc>
          <w:tcPr>
            <w:tcW w:w="4270" w:type="dxa"/>
            <w:noWrap w:val="0"/>
            <w:vAlign w:val="top"/>
          </w:tcPr>
          <w:p w14:paraId="551D85CE">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法定代表人：</w:t>
            </w:r>
          </w:p>
          <w:p w14:paraId="550CF87E">
            <w:pPr>
              <w:adjustRightInd w:val="0"/>
              <w:snapToGrid w:val="0"/>
              <w:spacing w:line="360" w:lineRule="auto"/>
              <w:rPr>
                <w:rFonts w:hint="eastAsia" w:ascii="宋体" w:hAnsi="宋体"/>
                <w:color w:val="auto"/>
                <w:kern w:val="0"/>
                <w:sz w:val="24"/>
              </w:rPr>
            </w:pPr>
          </w:p>
          <w:p w14:paraId="32042416">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或委托代理人：</w:t>
            </w:r>
          </w:p>
          <w:p w14:paraId="416539A9">
            <w:pPr>
              <w:adjustRightInd w:val="0"/>
              <w:snapToGrid w:val="0"/>
              <w:spacing w:line="360" w:lineRule="auto"/>
              <w:rPr>
                <w:rFonts w:hint="eastAsia" w:ascii="宋体" w:hAnsi="宋体"/>
                <w:color w:val="auto"/>
                <w:kern w:val="0"/>
                <w:sz w:val="24"/>
              </w:rPr>
            </w:pPr>
          </w:p>
        </w:tc>
        <w:tc>
          <w:tcPr>
            <w:tcW w:w="4270" w:type="dxa"/>
            <w:noWrap w:val="0"/>
            <w:vAlign w:val="top"/>
          </w:tcPr>
          <w:p w14:paraId="28ADC751">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 xml:space="preserve">法定代表人： </w:t>
            </w:r>
          </w:p>
          <w:p w14:paraId="14B80098">
            <w:pPr>
              <w:adjustRightInd w:val="0"/>
              <w:snapToGrid w:val="0"/>
              <w:spacing w:line="360" w:lineRule="auto"/>
              <w:rPr>
                <w:rFonts w:hint="eastAsia" w:ascii="宋体" w:hAnsi="宋体"/>
                <w:color w:val="auto"/>
                <w:kern w:val="0"/>
                <w:sz w:val="24"/>
              </w:rPr>
            </w:pPr>
          </w:p>
          <w:p w14:paraId="48B4A83E">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或委托代理人：</w:t>
            </w:r>
          </w:p>
        </w:tc>
      </w:tr>
      <w:tr w14:paraId="0A92B647">
        <w:tblPrEx>
          <w:tblCellMar>
            <w:top w:w="0" w:type="dxa"/>
            <w:left w:w="108" w:type="dxa"/>
            <w:bottom w:w="0" w:type="dxa"/>
            <w:right w:w="108" w:type="dxa"/>
          </w:tblCellMar>
        </w:tblPrEx>
        <w:trPr>
          <w:trHeight w:val="888" w:hRule="atLeast"/>
        </w:trPr>
        <w:tc>
          <w:tcPr>
            <w:tcW w:w="4270" w:type="dxa"/>
            <w:noWrap w:val="0"/>
            <w:vAlign w:val="top"/>
          </w:tcPr>
          <w:p w14:paraId="48CDC563">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电话：</w:t>
            </w:r>
          </w:p>
        </w:tc>
        <w:tc>
          <w:tcPr>
            <w:tcW w:w="4270" w:type="dxa"/>
            <w:noWrap w:val="0"/>
            <w:vAlign w:val="top"/>
          </w:tcPr>
          <w:p w14:paraId="244A747C">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 xml:space="preserve">电话： </w:t>
            </w:r>
          </w:p>
        </w:tc>
      </w:tr>
      <w:tr w14:paraId="22E3ADF9">
        <w:tblPrEx>
          <w:tblCellMar>
            <w:top w:w="0" w:type="dxa"/>
            <w:left w:w="108" w:type="dxa"/>
            <w:bottom w:w="0" w:type="dxa"/>
            <w:right w:w="108" w:type="dxa"/>
          </w:tblCellMar>
        </w:tblPrEx>
        <w:trPr>
          <w:trHeight w:val="888" w:hRule="atLeast"/>
        </w:trPr>
        <w:tc>
          <w:tcPr>
            <w:tcW w:w="4270" w:type="dxa"/>
            <w:noWrap w:val="0"/>
            <w:vAlign w:val="top"/>
          </w:tcPr>
          <w:p w14:paraId="7D1BE3CF">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开户行：</w:t>
            </w:r>
          </w:p>
        </w:tc>
        <w:tc>
          <w:tcPr>
            <w:tcW w:w="4270" w:type="dxa"/>
            <w:noWrap w:val="0"/>
            <w:vAlign w:val="top"/>
          </w:tcPr>
          <w:p w14:paraId="485D9C95">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开户行：</w:t>
            </w:r>
          </w:p>
        </w:tc>
      </w:tr>
      <w:tr w14:paraId="5265004B">
        <w:tblPrEx>
          <w:tblCellMar>
            <w:top w:w="0" w:type="dxa"/>
            <w:left w:w="108" w:type="dxa"/>
            <w:bottom w:w="0" w:type="dxa"/>
            <w:right w:w="108" w:type="dxa"/>
          </w:tblCellMar>
        </w:tblPrEx>
        <w:trPr>
          <w:trHeight w:val="888" w:hRule="atLeast"/>
        </w:trPr>
        <w:tc>
          <w:tcPr>
            <w:tcW w:w="4270" w:type="dxa"/>
            <w:noWrap w:val="0"/>
            <w:vAlign w:val="top"/>
          </w:tcPr>
          <w:p w14:paraId="3912757A">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银行帐号：</w:t>
            </w:r>
          </w:p>
        </w:tc>
        <w:tc>
          <w:tcPr>
            <w:tcW w:w="4270" w:type="dxa"/>
            <w:noWrap w:val="0"/>
            <w:vAlign w:val="top"/>
          </w:tcPr>
          <w:p w14:paraId="2F78BCEC">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银行帐号：</w:t>
            </w:r>
          </w:p>
        </w:tc>
      </w:tr>
      <w:tr w14:paraId="34C80119">
        <w:tblPrEx>
          <w:tblCellMar>
            <w:top w:w="0" w:type="dxa"/>
            <w:left w:w="108" w:type="dxa"/>
            <w:bottom w:w="0" w:type="dxa"/>
            <w:right w:w="108" w:type="dxa"/>
          </w:tblCellMar>
        </w:tblPrEx>
        <w:trPr>
          <w:trHeight w:val="888" w:hRule="atLeast"/>
        </w:trPr>
        <w:tc>
          <w:tcPr>
            <w:tcW w:w="4270" w:type="dxa"/>
            <w:noWrap w:val="0"/>
            <w:vAlign w:val="top"/>
          </w:tcPr>
          <w:p w14:paraId="710A13F3">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 xml:space="preserve">日期：  </w:t>
            </w:r>
          </w:p>
        </w:tc>
        <w:tc>
          <w:tcPr>
            <w:tcW w:w="4270" w:type="dxa"/>
            <w:noWrap w:val="0"/>
            <w:vAlign w:val="top"/>
          </w:tcPr>
          <w:p w14:paraId="6B89A08C">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 xml:space="preserve">日期：  </w:t>
            </w:r>
          </w:p>
        </w:tc>
      </w:tr>
    </w:tbl>
    <w:p w14:paraId="701E1635">
      <w:pPr>
        <w:adjustRightInd w:val="0"/>
        <w:snapToGrid w:val="0"/>
        <w:spacing w:line="360" w:lineRule="auto"/>
        <w:rPr>
          <w:rFonts w:hint="eastAsia"/>
          <w:color w:val="auto"/>
          <w:kern w:val="0"/>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889DB">
    <w:pPr>
      <w:pStyle w:val="3"/>
      <w:framePr w:wrap="around" w:vAnchor="text" w:hAnchor="margin" w:xAlign="right" w:y="1"/>
      <w:rPr>
        <w:rStyle w:val="7"/>
      </w:rPr>
    </w:pPr>
    <w:r>
      <w:fldChar w:fldCharType="begin"/>
    </w:r>
    <w:r>
      <w:rPr>
        <w:rStyle w:val="7"/>
      </w:rPr>
      <w:instrText xml:space="preserve">PAGE  </w:instrText>
    </w:r>
    <w:r>
      <w:fldChar w:fldCharType="separate"/>
    </w:r>
    <w:r>
      <w:rPr>
        <w:rStyle w:val="7"/>
      </w:rPr>
      <w:t>2</w:t>
    </w:r>
    <w:r>
      <w:fldChar w:fldCharType="end"/>
    </w:r>
  </w:p>
  <w:p w14:paraId="7CCC7D84">
    <w:pPr>
      <w:pStyle w:val="3"/>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B10CEA"/>
    <w:multiLevelType w:val="singleLevel"/>
    <w:tmpl w:val="81B10CEA"/>
    <w:lvl w:ilvl="0" w:tentative="0">
      <w:start w:val="1"/>
      <w:numFmt w:val="chineseCounting"/>
      <w:suff w:val="space"/>
      <w:lvlText w:val="(%1)"/>
      <w:lvlJc w:val="left"/>
      <w:rPr>
        <w:rFonts w:hint="eastAsia"/>
      </w:rPr>
    </w:lvl>
  </w:abstractNum>
  <w:abstractNum w:abstractNumId="1">
    <w:nsid w:val="92E1F872"/>
    <w:multiLevelType w:val="singleLevel"/>
    <w:tmpl w:val="92E1F872"/>
    <w:lvl w:ilvl="0" w:tentative="0">
      <w:start w:val="4"/>
      <w:numFmt w:val="chineseCounting"/>
      <w:suff w:val="nothing"/>
      <w:lvlText w:val="%1、"/>
      <w:lvlJc w:val="left"/>
      <w:rPr>
        <w:rFonts w:hint="eastAsia"/>
      </w:rPr>
    </w:lvl>
  </w:abstractNum>
  <w:abstractNum w:abstractNumId="2">
    <w:nsid w:val="B9D87EF1"/>
    <w:multiLevelType w:val="singleLevel"/>
    <w:tmpl w:val="B9D87EF1"/>
    <w:lvl w:ilvl="0" w:tentative="0">
      <w:start w:val="1"/>
      <w:numFmt w:val="chineseCounting"/>
      <w:suff w:val="space"/>
      <w:lvlText w:val="(%1)"/>
      <w:lvlJc w:val="left"/>
      <w:rPr>
        <w:rFonts w:hint="eastAsia"/>
      </w:rPr>
    </w:lvl>
  </w:abstractNum>
  <w:abstractNum w:abstractNumId="3">
    <w:nsid w:val="F7031EC4"/>
    <w:multiLevelType w:val="singleLevel"/>
    <w:tmpl w:val="F7031EC4"/>
    <w:lvl w:ilvl="0" w:tentative="0">
      <w:start w:val="1"/>
      <w:numFmt w:val="chineseCounting"/>
      <w:suff w:val="space"/>
      <w:lvlText w:val="(%1)"/>
      <w:lvlJc w:val="left"/>
      <w:rPr>
        <w:rFonts w:hint="eastAsia"/>
      </w:rPr>
    </w:lvl>
  </w:abstractNum>
  <w:abstractNum w:abstractNumId="4">
    <w:nsid w:val="25F31173"/>
    <w:multiLevelType w:val="singleLevel"/>
    <w:tmpl w:val="25F31173"/>
    <w:lvl w:ilvl="0" w:tentative="0">
      <w:start w:val="1"/>
      <w:numFmt w:val="chineseCounting"/>
      <w:suff w:val="space"/>
      <w:lvlText w:val="(%1)"/>
      <w:lvlJc w:val="left"/>
      <w:rPr>
        <w:rFonts w:hint="eastAsia"/>
      </w:rPr>
    </w:lvl>
  </w:abstractNum>
  <w:abstractNum w:abstractNumId="5">
    <w:nsid w:val="7D41E851"/>
    <w:multiLevelType w:val="singleLevel"/>
    <w:tmpl w:val="7D41E851"/>
    <w:lvl w:ilvl="0" w:tentative="0">
      <w:start w:val="5"/>
      <w:numFmt w:val="decimal"/>
      <w:suff w:val="nothing"/>
      <w:lvlText w:val="%1）"/>
      <w:lvlJc w:val="left"/>
      <w:pPr>
        <w:ind w:left="480" w:leftChars="0" w:firstLine="0" w:firstLineChars="0"/>
      </w:p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F57002"/>
    <w:rsid w:val="0018099E"/>
    <w:rsid w:val="004479E5"/>
    <w:rsid w:val="00AD558A"/>
    <w:rsid w:val="01981D96"/>
    <w:rsid w:val="020772D3"/>
    <w:rsid w:val="02781BC8"/>
    <w:rsid w:val="02B01361"/>
    <w:rsid w:val="04EA6DAD"/>
    <w:rsid w:val="058A5E9A"/>
    <w:rsid w:val="05926AFC"/>
    <w:rsid w:val="059B1E55"/>
    <w:rsid w:val="05CB200E"/>
    <w:rsid w:val="06782196"/>
    <w:rsid w:val="06A905A2"/>
    <w:rsid w:val="06BB2083"/>
    <w:rsid w:val="06F86E33"/>
    <w:rsid w:val="0730481F"/>
    <w:rsid w:val="07C51EEF"/>
    <w:rsid w:val="0828199A"/>
    <w:rsid w:val="08316AA1"/>
    <w:rsid w:val="083B347B"/>
    <w:rsid w:val="08A234FA"/>
    <w:rsid w:val="08E567F0"/>
    <w:rsid w:val="097A4477"/>
    <w:rsid w:val="0AC57974"/>
    <w:rsid w:val="0B710A8D"/>
    <w:rsid w:val="0C14470F"/>
    <w:rsid w:val="0CC8203B"/>
    <w:rsid w:val="0D70006B"/>
    <w:rsid w:val="0D8633EB"/>
    <w:rsid w:val="0DBE2B84"/>
    <w:rsid w:val="0F1B7B63"/>
    <w:rsid w:val="0F1C34E1"/>
    <w:rsid w:val="12FC5EFD"/>
    <w:rsid w:val="13AF2F6F"/>
    <w:rsid w:val="13B14F39"/>
    <w:rsid w:val="13E9673F"/>
    <w:rsid w:val="1433594E"/>
    <w:rsid w:val="145F6743"/>
    <w:rsid w:val="147E12BF"/>
    <w:rsid w:val="15671D54"/>
    <w:rsid w:val="15B91E83"/>
    <w:rsid w:val="163D4862"/>
    <w:rsid w:val="172B0B5F"/>
    <w:rsid w:val="181B6E25"/>
    <w:rsid w:val="186E33F9"/>
    <w:rsid w:val="189F12EB"/>
    <w:rsid w:val="1998697F"/>
    <w:rsid w:val="19C808E7"/>
    <w:rsid w:val="1A1D16DD"/>
    <w:rsid w:val="1BCB46BE"/>
    <w:rsid w:val="1BD47A17"/>
    <w:rsid w:val="1CC663D1"/>
    <w:rsid w:val="1D790876"/>
    <w:rsid w:val="1DB63878"/>
    <w:rsid w:val="1DF75C3F"/>
    <w:rsid w:val="1E205195"/>
    <w:rsid w:val="1E334EC9"/>
    <w:rsid w:val="1EA2204E"/>
    <w:rsid w:val="20B32098"/>
    <w:rsid w:val="20EC135F"/>
    <w:rsid w:val="225C42C2"/>
    <w:rsid w:val="226F3FF6"/>
    <w:rsid w:val="22964DA0"/>
    <w:rsid w:val="22F0033C"/>
    <w:rsid w:val="23152DEF"/>
    <w:rsid w:val="249064A5"/>
    <w:rsid w:val="2527505B"/>
    <w:rsid w:val="25423C43"/>
    <w:rsid w:val="25916979"/>
    <w:rsid w:val="26B11081"/>
    <w:rsid w:val="27076EF2"/>
    <w:rsid w:val="28B430AA"/>
    <w:rsid w:val="28D7579A"/>
    <w:rsid w:val="28DF17A9"/>
    <w:rsid w:val="2A1536D4"/>
    <w:rsid w:val="2C155C0E"/>
    <w:rsid w:val="2C7548FE"/>
    <w:rsid w:val="2CA64AB8"/>
    <w:rsid w:val="2D4D587B"/>
    <w:rsid w:val="2F37233F"/>
    <w:rsid w:val="2F7C5FA4"/>
    <w:rsid w:val="300D4E4E"/>
    <w:rsid w:val="30E67B79"/>
    <w:rsid w:val="30F85AFE"/>
    <w:rsid w:val="3267118D"/>
    <w:rsid w:val="32B83797"/>
    <w:rsid w:val="3307027A"/>
    <w:rsid w:val="337335C5"/>
    <w:rsid w:val="34476B80"/>
    <w:rsid w:val="345D5881"/>
    <w:rsid w:val="347418C9"/>
    <w:rsid w:val="34EB1C02"/>
    <w:rsid w:val="36EC3A0F"/>
    <w:rsid w:val="37887BDC"/>
    <w:rsid w:val="37D22C05"/>
    <w:rsid w:val="38A81BB8"/>
    <w:rsid w:val="38E719B3"/>
    <w:rsid w:val="391A0D07"/>
    <w:rsid w:val="39B34CB8"/>
    <w:rsid w:val="3A03179B"/>
    <w:rsid w:val="3B5953EB"/>
    <w:rsid w:val="3BB66610"/>
    <w:rsid w:val="3BBC0A63"/>
    <w:rsid w:val="3BFC46F4"/>
    <w:rsid w:val="3D3C7A5B"/>
    <w:rsid w:val="3E3363C7"/>
    <w:rsid w:val="3E3C1720"/>
    <w:rsid w:val="3E834C59"/>
    <w:rsid w:val="3EB802CA"/>
    <w:rsid w:val="3ECA2888"/>
    <w:rsid w:val="3F00274D"/>
    <w:rsid w:val="411B561D"/>
    <w:rsid w:val="419378A9"/>
    <w:rsid w:val="41A82C28"/>
    <w:rsid w:val="41BD66D4"/>
    <w:rsid w:val="42312C1E"/>
    <w:rsid w:val="427F1BDB"/>
    <w:rsid w:val="429D6505"/>
    <w:rsid w:val="43036368"/>
    <w:rsid w:val="43394480"/>
    <w:rsid w:val="438F5E4E"/>
    <w:rsid w:val="442B201A"/>
    <w:rsid w:val="44CD1324"/>
    <w:rsid w:val="452F78E8"/>
    <w:rsid w:val="45D43FEC"/>
    <w:rsid w:val="460A3EB2"/>
    <w:rsid w:val="466510E8"/>
    <w:rsid w:val="479B74B7"/>
    <w:rsid w:val="47F15329"/>
    <w:rsid w:val="482C6361"/>
    <w:rsid w:val="4884619D"/>
    <w:rsid w:val="48D32C81"/>
    <w:rsid w:val="48E1539E"/>
    <w:rsid w:val="48EB3E65"/>
    <w:rsid w:val="48EC789E"/>
    <w:rsid w:val="496E6505"/>
    <w:rsid w:val="49AA39E1"/>
    <w:rsid w:val="4B5856BF"/>
    <w:rsid w:val="4CAE37E9"/>
    <w:rsid w:val="4DB12E65"/>
    <w:rsid w:val="4F0A0EE8"/>
    <w:rsid w:val="4FB67B94"/>
    <w:rsid w:val="4FD712A8"/>
    <w:rsid w:val="502D0EC8"/>
    <w:rsid w:val="50D15CF8"/>
    <w:rsid w:val="51022355"/>
    <w:rsid w:val="510E1BA5"/>
    <w:rsid w:val="51A552D1"/>
    <w:rsid w:val="52B61649"/>
    <w:rsid w:val="52F201A7"/>
    <w:rsid w:val="5311687F"/>
    <w:rsid w:val="53224A29"/>
    <w:rsid w:val="53426A39"/>
    <w:rsid w:val="5362532D"/>
    <w:rsid w:val="536A41E2"/>
    <w:rsid w:val="538A1AD2"/>
    <w:rsid w:val="53F57002"/>
    <w:rsid w:val="54E67898"/>
    <w:rsid w:val="5516017D"/>
    <w:rsid w:val="556C4241"/>
    <w:rsid w:val="558C6691"/>
    <w:rsid w:val="55967510"/>
    <w:rsid w:val="55BB6F76"/>
    <w:rsid w:val="56644F18"/>
    <w:rsid w:val="56A619D5"/>
    <w:rsid w:val="570D1A54"/>
    <w:rsid w:val="581806B0"/>
    <w:rsid w:val="583F79EB"/>
    <w:rsid w:val="59EC3BA2"/>
    <w:rsid w:val="5BA5225B"/>
    <w:rsid w:val="5CB309A7"/>
    <w:rsid w:val="5CDF179C"/>
    <w:rsid w:val="5CE46DB3"/>
    <w:rsid w:val="5DB82208"/>
    <w:rsid w:val="5E100C13"/>
    <w:rsid w:val="5E2672E5"/>
    <w:rsid w:val="5E99597B"/>
    <w:rsid w:val="5EDA221B"/>
    <w:rsid w:val="60031C46"/>
    <w:rsid w:val="60B337DD"/>
    <w:rsid w:val="60CB51FB"/>
    <w:rsid w:val="60EE6452"/>
    <w:rsid w:val="61F5736C"/>
    <w:rsid w:val="62976675"/>
    <w:rsid w:val="62B72874"/>
    <w:rsid w:val="63141A74"/>
    <w:rsid w:val="6347009B"/>
    <w:rsid w:val="63864720"/>
    <w:rsid w:val="63EA73A4"/>
    <w:rsid w:val="64F14763"/>
    <w:rsid w:val="65711400"/>
    <w:rsid w:val="664A237C"/>
    <w:rsid w:val="664D0D72"/>
    <w:rsid w:val="66501015"/>
    <w:rsid w:val="667C4500"/>
    <w:rsid w:val="66A17AC3"/>
    <w:rsid w:val="671D183F"/>
    <w:rsid w:val="682409AB"/>
    <w:rsid w:val="68556DB7"/>
    <w:rsid w:val="68D51CA5"/>
    <w:rsid w:val="6A010FA4"/>
    <w:rsid w:val="6A5E63F6"/>
    <w:rsid w:val="6A753740"/>
    <w:rsid w:val="6AF74155"/>
    <w:rsid w:val="6B2A277C"/>
    <w:rsid w:val="6BB42046"/>
    <w:rsid w:val="6BEE37AA"/>
    <w:rsid w:val="6E8D72AA"/>
    <w:rsid w:val="6F564A4B"/>
    <w:rsid w:val="6F9C52CB"/>
    <w:rsid w:val="6FA46421"/>
    <w:rsid w:val="6FC54BB9"/>
    <w:rsid w:val="703D6AAE"/>
    <w:rsid w:val="70514307"/>
    <w:rsid w:val="70787AE6"/>
    <w:rsid w:val="708741CD"/>
    <w:rsid w:val="70BD199D"/>
    <w:rsid w:val="710B6BAC"/>
    <w:rsid w:val="74122000"/>
    <w:rsid w:val="742A10F7"/>
    <w:rsid w:val="753C37D8"/>
    <w:rsid w:val="757C43AA"/>
    <w:rsid w:val="76571F4C"/>
    <w:rsid w:val="76CE66B2"/>
    <w:rsid w:val="77640DC4"/>
    <w:rsid w:val="77E15F71"/>
    <w:rsid w:val="78615304"/>
    <w:rsid w:val="79091C23"/>
    <w:rsid w:val="79112886"/>
    <w:rsid w:val="797B41A3"/>
    <w:rsid w:val="7A434CC1"/>
    <w:rsid w:val="7B542EFE"/>
    <w:rsid w:val="7B737828"/>
    <w:rsid w:val="7C4D2D27"/>
    <w:rsid w:val="7C520A0E"/>
    <w:rsid w:val="7C773348"/>
    <w:rsid w:val="7DAA5057"/>
    <w:rsid w:val="7F1C3D32"/>
    <w:rsid w:val="7F5931D8"/>
    <w:rsid w:val="7F9B10FB"/>
    <w:rsid w:val="7FF01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color w:val="000000"/>
    </w:rPr>
  </w:style>
  <w:style w:type="paragraph" w:styleId="3">
    <w:name w:val="footer"/>
    <w:basedOn w:val="1"/>
    <w:qFormat/>
    <w:uiPriority w:val="0"/>
    <w:pPr>
      <w:tabs>
        <w:tab w:val="center" w:pos="4153"/>
        <w:tab w:val="right" w:pos="8306"/>
      </w:tabs>
      <w:snapToGrid w:val="0"/>
      <w:jc w:val="left"/>
    </w:pPr>
    <w:rPr>
      <w:sz w:val="18"/>
      <w:szCs w:val="18"/>
    </w:rPr>
  </w:style>
  <w:style w:type="table" w:styleId="5">
    <w:name w:val="Table Grid"/>
    <w:basedOn w:val="4"/>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 w:type="paragraph" w:styleId="8">
    <w:name w:val="List Paragraph"/>
    <w:basedOn w:val="1"/>
    <w:qFormat/>
    <w:uiPriority w:val="34"/>
    <w:pPr>
      <w:widowControl/>
      <w:ind w:firstLine="420" w:firstLineChars="200"/>
      <w:jc w:val="left"/>
    </w:pPr>
    <w:rPr>
      <w:rFonts w:ascii="Times New Roman" w:hAnsi="Times New Roman" w:eastAsia="宋体"/>
      <w:kern w:val="0"/>
      <w:sz w:val="22"/>
    </w:rPr>
  </w:style>
  <w:style w:type="paragraph" w:customStyle="1" w:styleId="9">
    <w:name w:val="Table Text"/>
    <w:basedOn w:val="1"/>
    <w:semiHidden/>
    <w:qFormat/>
    <w:uiPriority w:val="0"/>
    <w:rPr>
      <w:rFonts w:ascii="宋体" w:hAnsi="宋体" w:eastAsia="宋体" w:cs="宋体"/>
      <w:sz w:val="27"/>
      <w:szCs w:val="27"/>
      <w:lang w:val="en-US" w:eastAsia="en-US" w:bidi="ar-SA"/>
    </w:rPr>
  </w:style>
  <w:style w:type="paragraph" w:customStyle="1" w:styleId="10">
    <w:name w:val="大分"/>
    <w:basedOn w:val="1"/>
    <w:qFormat/>
    <w:uiPriority w:val="0"/>
    <w:pPr>
      <w:autoSpaceDE w:val="0"/>
      <w:autoSpaceDN w:val="0"/>
      <w:adjustRightInd w:val="0"/>
      <w:spacing w:line="288" w:lineRule="auto"/>
      <w:ind w:firstLine="480"/>
      <w:jc w:val="left"/>
      <w:textAlignment w:val="baseline"/>
    </w:pPr>
    <w:rPr>
      <w:rFonts w:ascii="宋体"/>
      <w:kern w:val="0"/>
      <w:sz w:val="24"/>
      <w:szCs w:val="20"/>
    </w:rPr>
  </w:style>
  <w:style w:type="paragraph" w:customStyle="1" w:styleId="11">
    <w:name w:val="小标"/>
    <w:basedOn w:val="1"/>
    <w:qFormat/>
    <w:uiPriority w:val="0"/>
    <w:pPr>
      <w:autoSpaceDE w:val="0"/>
      <w:autoSpaceDN w:val="0"/>
      <w:adjustRightInd w:val="0"/>
      <w:spacing w:line="288" w:lineRule="auto"/>
      <w:ind w:firstLine="480"/>
      <w:jc w:val="left"/>
      <w:textAlignment w:val="baseline"/>
    </w:pPr>
    <w:rPr>
      <w:rFonts w:ascii="黑体" w:eastAsia="黑体"/>
      <w:kern w:val="0"/>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3459</Words>
  <Characters>3535</Characters>
  <Lines>0</Lines>
  <Paragraphs>0</Paragraphs>
  <TotalTime>155</TotalTime>
  <ScaleCrop>false</ScaleCrop>
  <LinksUpToDate>false</LinksUpToDate>
  <CharactersWithSpaces>3808</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2025-03-25T11:16:00Z</dcterms:created>
  <dc:creator>涂涂</dc:creator>
  <cp:lastModifiedBy>李蹊</cp:lastModifiedBy>
  <cp:lastPrinted>2026-03-05T03:38:00Z</cp:lastPrinted>
  <dcterms:modified xsi:type="dcterms:W3CDTF">2026-03-27T07:48:09Z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7F6FAE1C8D1242399E3CFD61B3741EE7_13</vt:lpwstr>
  </property>
  <property fmtid="{D5CDD505-2E9C-101B-9397-08002B2CF9AE}" pid="4" name="KSOTemplateDocerSaveRecord">
    <vt:lpwstr>eyJoZGlkIjoiYWQ0MzVhZDQ0NzMyMDg5NzM3NzNmZWI4NmIxZDVlMjQiLCJ1c2VySWQiOiIyMDMxMDgyMDUifQ==</vt:lpwstr>
  </property>
</Properties>
</file>