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55429">
      <w:pPr>
        <w:pStyle w:val="7"/>
        <w:jc w:val="center"/>
        <w:outlineLvl w:val="1"/>
        <w:rPr>
          <w:color w:val="000000" w:themeColor="text1"/>
          <w:highlight w:val="none"/>
          <w14:textFill>
            <w14:solidFill>
              <w14:schemeClr w14:val="tx1"/>
            </w14:solidFill>
          </w14:textFill>
        </w:rPr>
      </w:pPr>
      <w:bookmarkStart w:id="1" w:name="_GoBack"/>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p>
    <w:p w14:paraId="6F461FE5">
      <w:pPr>
        <w:pStyle w:val="4"/>
        <w:keepNext w:val="0"/>
        <w:keepLines w:val="0"/>
        <w:pageBreakBefore w:val="0"/>
        <w:wordWrap/>
        <w:overflowPunct/>
        <w:topLinePunct w:val="0"/>
        <w:bidi w:val="0"/>
        <w:spacing w:before="0" w:beforeAutospacing="0" w:after="0" w:afterAutospacing="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合同编号： </w:t>
      </w:r>
    </w:p>
    <w:p w14:paraId="15FB57CE">
      <w:pPr>
        <w:pStyle w:val="4"/>
        <w:keepNext w:val="0"/>
        <w:keepLines w:val="0"/>
        <w:pageBreakBefore w:val="0"/>
        <w:wordWrap/>
        <w:overflowPunct/>
        <w:topLinePunct w:val="0"/>
        <w:bidi w:val="0"/>
        <w:spacing w:before="0" w:beforeAutospacing="0" w:after="0" w:afterAutospacing="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签订地点： </w:t>
      </w:r>
    </w:p>
    <w:p w14:paraId="4BDB749E">
      <w:pPr>
        <w:pStyle w:val="4"/>
        <w:keepNext w:val="0"/>
        <w:keepLines w:val="0"/>
        <w:pageBreakBefore w:val="0"/>
        <w:wordWrap/>
        <w:overflowPunct/>
        <w:topLinePunct w:val="0"/>
        <w:bidi w:val="0"/>
        <w:spacing w:before="0" w:beforeAutospacing="0" w:after="0" w:afterAutospacing="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签订时间：</w:t>
      </w:r>
    </w:p>
    <w:p w14:paraId="6DF06640">
      <w:pPr>
        <w:pStyle w:val="4"/>
        <w:keepNext w:val="0"/>
        <w:keepLines w:val="0"/>
        <w:pageBreakBefore w:val="0"/>
        <w:wordWrap/>
        <w:overflowPunct/>
        <w:topLinePunct w:val="0"/>
        <w:bidi w:val="0"/>
        <w:spacing w:before="0" w:beforeAutospacing="0" w:after="0" w:afterAutospacing="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甲方（</w:t>
      </w:r>
      <w:r>
        <w:rPr>
          <w:rFonts w:hint="eastAsia" w:ascii="宋体" w:hAnsi="宋体" w:eastAsia="宋体" w:cs="宋体"/>
          <w:color w:val="000000" w:themeColor="text1"/>
          <w:sz w:val="21"/>
          <w:szCs w:val="21"/>
          <w:highlight w:val="none"/>
          <w:lang w:val="en-US" w:eastAsia="zh-CN"/>
          <w14:textFill>
            <w14:solidFill>
              <w14:schemeClr w14:val="tx1"/>
            </w14:solidFill>
          </w14:textFill>
        </w:rPr>
        <w:t>采购人</w:t>
      </w:r>
      <w:r>
        <w:rPr>
          <w:rFonts w:hint="eastAsia" w:ascii="宋体" w:hAnsi="宋体" w:eastAsia="宋体" w:cs="宋体"/>
          <w:color w:val="000000" w:themeColor="text1"/>
          <w:sz w:val="21"/>
          <w:szCs w:val="21"/>
          <w:highlight w:val="none"/>
          <w14:textFill>
            <w14:solidFill>
              <w14:schemeClr w14:val="tx1"/>
            </w14:solidFill>
          </w14:textFill>
        </w:rPr>
        <w:t>）：</w:t>
      </w:r>
    </w:p>
    <w:p w14:paraId="4962087D">
      <w:pPr>
        <w:pStyle w:val="4"/>
        <w:keepNext w:val="0"/>
        <w:keepLines w:val="0"/>
        <w:pageBreakBefore w:val="0"/>
        <w:wordWrap/>
        <w:overflowPunct/>
        <w:topLinePunct w:val="0"/>
        <w:bidi w:val="0"/>
        <w:spacing w:before="0" w:beforeAutospacing="0" w:after="0" w:afterAutospacing="0"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乙方（供应商）：</w:t>
      </w:r>
    </w:p>
    <w:p w14:paraId="4615CDF1">
      <w:pPr>
        <w:pStyle w:val="2"/>
        <w:keepNext w:val="0"/>
        <w:keepLines w:val="0"/>
        <w:pageBreakBefore w:val="0"/>
        <w:wordWrap/>
        <w:overflowPunct/>
        <w:topLinePunct w:val="0"/>
        <w:bidi w:val="0"/>
        <w:spacing w:before="0" w:beforeLines="0" w:beforeAutospacing="0" w:afterAutospacing="0" w:line="36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根据《中华人民共和国政府采购法》及实施条例、《中华人民共和国民法典》和甲方</w:t>
      </w:r>
      <w:r>
        <w:rPr>
          <w:rFonts w:hint="eastAsia" w:ascii="宋体" w:hAnsi="宋体"/>
          <w:color w:val="000000" w:themeColor="text1"/>
          <w:sz w:val="21"/>
          <w:szCs w:val="21"/>
          <w:highlight w:val="none"/>
          <w:u w:val="single"/>
          <w14:textFill>
            <w14:solidFill>
              <w14:schemeClr w14:val="tx1"/>
            </w14:solidFill>
          </w14:textFill>
        </w:rPr>
        <w:t xml:space="preserve"> （项目名称）（项目编号）</w:t>
      </w:r>
      <w:r>
        <w:rPr>
          <w:rFonts w:hint="eastAsia" w:ascii="宋体" w:hAnsi="宋体"/>
          <w:color w:val="000000" w:themeColor="text1"/>
          <w:sz w:val="21"/>
          <w:szCs w:val="21"/>
          <w:highlight w:val="none"/>
          <w14:textFill>
            <w14:solidFill>
              <w14:schemeClr w14:val="tx1"/>
            </w14:solidFill>
          </w14:textFill>
        </w:rPr>
        <w:t>的</w:t>
      </w:r>
      <w:r>
        <w:rPr>
          <w:rFonts w:hint="eastAsia" w:ascii="宋体" w:hAnsi="宋体"/>
          <w:color w:val="000000" w:themeColor="text1"/>
          <w:sz w:val="21"/>
          <w:szCs w:val="21"/>
          <w:highlight w:val="none"/>
          <w:lang w:val="en-US" w:eastAsia="zh-CN"/>
          <w14:textFill>
            <w14:solidFill>
              <w14:schemeClr w14:val="tx1"/>
            </w14:solidFill>
          </w14:textFill>
        </w:rPr>
        <w:t>采购</w:t>
      </w:r>
      <w:r>
        <w:rPr>
          <w:rFonts w:hint="eastAsia" w:ascii="宋体" w:hAnsi="宋体"/>
          <w:color w:val="000000" w:themeColor="text1"/>
          <w:sz w:val="21"/>
          <w:szCs w:val="21"/>
          <w:highlight w:val="none"/>
          <w14:textFill>
            <w14:solidFill>
              <w14:schemeClr w14:val="tx1"/>
            </w14:solidFill>
          </w14:textFill>
        </w:rPr>
        <w:t>文件、响应文件等有关规定，为确保甲方采购项目的顺利实施，甲、乙双方在平等自愿原则下签订本合同，并共同遵守如下条款：</w:t>
      </w:r>
      <w:bookmarkStart w:id="0" w:name="_Toc14987"/>
    </w:p>
    <w:bookmarkEnd w:id="0"/>
    <w:p w14:paraId="6CF84914">
      <w:pPr>
        <w:keepNext w:val="0"/>
        <w:keepLines w:val="0"/>
        <w:pageBreakBefore w:val="0"/>
        <w:wordWrap/>
        <w:overflowPunct/>
        <w:topLinePunct w:val="0"/>
        <w:bidi w:val="0"/>
        <w:spacing w:beforeAutospacing="0" w:afterAutospacing="0" w:line="360" w:lineRule="auto"/>
        <w:rPr>
          <w:rFonts w:ascii="宋体" w:hAns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 xml:space="preserve">第一条 </w:t>
      </w:r>
      <w:r>
        <w:rPr>
          <w:rFonts w:hint="eastAsia" w:ascii="宋体" w:hAnsi="宋体" w:eastAsia="宋体" w:cs="宋体"/>
          <w:b/>
          <w:color w:val="000000" w:themeColor="text1"/>
          <w:sz w:val="21"/>
          <w:szCs w:val="21"/>
          <w:highlight w:val="none"/>
          <w14:textFill>
            <w14:solidFill>
              <w14:schemeClr w14:val="tx1"/>
            </w14:solidFill>
          </w14:textFill>
        </w:rPr>
        <w:t>项目概况</w:t>
      </w:r>
    </w:p>
    <w:p w14:paraId="4FB45991">
      <w:pPr>
        <w:keepNext w:val="0"/>
        <w:keepLines w:val="0"/>
        <w:pageBreakBefore w:val="0"/>
        <w:wordWrap/>
        <w:overflowPunct/>
        <w:topLinePunct w:val="0"/>
        <w:bidi w:val="0"/>
        <w:spacing w:beforeAutospacing="0" w:afterAutospacing="0" w:line="360" w:lineRule="auto"/>
        <w:ind w:right="-199" w:rightChars="-95" w:firstLine="420" w:firstLineChars="200"/>
        <w:rPr>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乙</w:t>
      </w:r>
      <w:r>
        <w:rPr>
          <w:rFonts w:hint="eastAsia" w:ascii="宋体" w:hAnsi="宋体" w:cs="宋体"/>
          <w:color w:val="000000" w:themeColor="text1"/>
          <w:sz w:val="21"/>
          <w:szCs w:val="21"/>
          <w:highlight w:val="none"/>
          <w:lang w:val="en-US" w:eastAsia="zh-CN"/>
          <w14:textFill>
            <w14:solidFill>
              <w14:schemeClr w14:val="tx1"/>
            </w14:solidFill>
          </w14:textFill>
        </w:rPr>
        <w:t>方</w:t>
      </w:r>
      <w:r>
        <w:rPr>
          <w:rFonts w:hint="eastAsia" w:ascii="宋体" w:hAnsi="宋体" w:cs="宋体"/>
          <w:color w:val="000000" w:themeColor="text1"/>
          <w:sz w:val="21"/>
          <w:szCs w:val="21"/>
          <w:highlight w:val="none"/>
          <w14:textFill>
            <w14:solidFill>
              <w14:schemeClr w14:val="tx1"/>
            </w14:solidFill>
          </w14:textFill>
        </w:rPr>
        <w:t>按照配送责任范围和要求，提供食材的供应、配送、运输及相关售后服务等工作，确保食品安全，食堂日常正常开餐</w:t>
      </w:r>
      <w:r>
        <w:rPr>
          <w:rFonts w:hint="eastAsia" w:ascii="宋体" w:hAnsi="宋体" w:cs="宋体"/>
          <w:color w:val="000000" w:themeColor="text1"/>
          <w:sz w:val="21"/>
          <w:szCs w:val="21"/>
          <w:highlight w:val="none"/>
          <w:lang w:val="en-US" w:eastAsia="zh-CN"/>
          <w14:textFill>
            <w14:solidFill>
              <w14:schemeClr w14:val="tx1"/>
            </w14:solidFill>
          </w14:textFill>
        </w:rPr>
        <w:t>；要求各项服务、产品标准符合国家、省、市（行业）强制性标准及甲方要求的合格标准</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2F38DB6">
      <w:pPr>
        <w:keepNext w:val="0"/>
        <w:keepLines w:val="0"/>
        <w:pageBreakBefore w:val="0"/>
        <w:wordWrap/>
        <w:overflowPunct/>
        <w:topLinePunct w:val="0"/>
        <w:bidi w:val="0"/>
        <w:spacing w:beforeAutospacing="0" w:afterAutospacing="0" w:line="360" w:lineRule="auto"/>
        <w:rPr>
          <w:rFonts w:ascii="宋体" w:hAns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第</w:t>
      </w:r>
      <w:r>
        <w:rPr>
          <w:rFonts w:hint="eastAsia" w:ascii="宋体" w:hAnsi="宋体" w:cs="宋体"/>
          <w:b/>
          <w:color w:val="000000" w:themeColor="text1"/>
          <w:sz w:val="21"/>
          <w:szCs w:val="21"/>
          <w:highlight w:val="none"/>
          <w:lang w:val="en-US" w:eastAsia="zh-CN"/>
          <w14:textFill>
            <w14:solidFill>
              <w14:schemeClr w14:val="tx1"/>
            </w14:solidFill>
          </w14:textFill>
        </w:rPr>
        <w:t>二</w:t>
      </w:r>
      <w:r>
        <w:rPr>
          <w:rFonts w:hint="eastAsia" w:ascii="宋体" w:hAnsi="宋体" w:cs="宋体"/>
          <w:b/>
          <w:color w:val="000000" w:themeColor="text1"/>
          <w:sz w:val="21"/>
          <w:szCs w:val="21"/>
          <w:highlight w:val="none"/>
          <w14:textFill>
            <w14:solidFill>
              <w14:schemeClr w14:val="tx1"/>
            </w14:solidFill>
          </w14:textFill>
        </w:rPr>
        <w:t>条 服务期限</w:t>
      </w:r>
    </w:p>
    <w:p w14:paraId="171833CC">
      <w:pPr>
        <w:keepNext w:val="0"/>
        <w:keepLines w:val="0"/>
        <w:pageBreakBefore w:val="0"/>
        <w:wordWrap/>
        <w:overflowPunct/>
        <w:topLinePunct w:val="0"/>
        <w:bidi w:val="0"/>
        <w:spacing w:beforeAutospacing="0" w:afterAutospacing="0" w:line="360" w:lineRule="auto"/>
        <w:ind w:right="-199" w:rightChars="-95"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自</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日至</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63E72A17">
      <w:pPr>
        <w:keepNext w:val="0"/>
        <w:keepLines w:val="0"/>
        <w:pageBreakBefore w:val="0"/>
        <w:wordWrap/>
        <w:overflowPunct/>
        <w:topLinePunct w:val="0"/>
        <w:bidi w:val="0"/>
        <w:spacing w:beforeAutospacing="0" w:afterAutospacing="0" w:line="360" w:lineRule="auto"/>
        <w:rPr>
          <w:rFonts w:ascii="宋体" w:hAnsi="宋体" w:cs="宋体"/>
          <w:color w:val="000000" w:themeColor="text1"/>
          <w:spacing w:val="6"/>
          <w:kern w:val="60"/>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第</w:t>
      </w:r>
      <w:r>
        <w:rPr>
          <w:rFonts w:hint="eastAsia" w:ascii="宋体" w:hAnsi="宋体" w:cs="宋体"/>
          <w:b/>
          <w:color w:val="000000" w:themeColor="text1"/>
          <w:sz w:val="21"/>
          <w:szCs w:val="21"/>
          <w:highlight w:val="none"/>
          <w:lang w:val="en-US" w:eastAsia="zh-CN"/>
          <w14:textFill>
            <w14:solidFill>
              <w14:schemeClr w14:val="tx1"/>
            </w14:solidFill>
          </w14:textFill>
        </w:rPr>
        <w:t>三</w:t>
      </w:r>
      <w:r>
        <w:rPr>
          <w:rFonts w:hint="eastAsia" w:ascii="宋体" w:hAnsi="宋体" w:cs="宋体"/>
          <w:b/>
          <w:color w:val="000000" w:themeColor="text1"/>
          <w:sz w:val="21"/>
          <w:szCs w:val="21"/>
          <w:highlight w:val="none"/>
          <w14:textFill>
            <w14:solidFill>
              <w14:schemeClr w14:val="tx1"/>
            </w14:solidFill>
          </w14:textFill>
        </w:rPr>
        <w:t>条  合同价款及支付方式</w:t>
      </w:r>
    </w:p>
    <w:p w14:paraId="13B88B7E">
      <w:pPr>
        <w:keepNext w:val="0"/>
        <w:keepLines w:val="0"/>
        <w:pageBreakBefore w:val="0"/>
        <w:wordWrap/>
        <w:overflowPunct/>
        <w:topLinePunct w:val="0"/>
        <w:bidi w:val="0"/>
        <w:spacing w:beforeAutospacing="0" w:afterAutospacing="0" w:line="360" w:lineRule="auto"/>
        <w:ind w:firstLine="420" w:firstLineChars="200"/>
        <w:rPr>
          <w:rFonts w:ascii="宋体" w:hAnsi="宋体" w:cs="宋体"/>
          <w:color w:val="000000" w:themeColor="text1"/>
          <w:sz w:val="21"/>
          <w:szCs w:val="21"/>
          <w:highlight w:val="none"/>
          <w:shd w:val="clear" w:color="auto" w:fill="FFFFFF"/>
          <w14:textFill>
            <w14:solidFill>
              <w14:schemeClr w14:val="tx1"/>
            </w14:solidFill>
          </w14:textFill>
        </w:rPr>
      </w:pPr>
      <w:r>
        <w:rPr>
          <w:rFonts w:hint="eastAsia" w:ascii="宋体" w:hAnsi="宋体" w:cs="宋体"/>
          <w:color w:val="000000" w:themeColor="text1"/>
          <w:sz w:val="21"/>
          <w:szCs w:val="21"/>
          <w:highlight w:val="none"/>
          <w:shd w:val="clear" w:color="auto" w:fill="FFFFFF"/>
          <w14:textFill>
            <w14:solidFill>
              <w14:schemeClr w14:val="tx1"/>
            </w14:solidFill>
          </w14:textFill>
        </w:rPr>
        <w:t>1、</w:t>
      </w: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结算折扣率为：</w:t>
      </w:r>
      <w:r>
        <w:rPr>
          <w:rFonts w:hint="eastAsia" w:ascii="宋体" w:hAnsi="宋体" w:cs="宋体"/>
          <w:color w:val="000000" w:themeColor="text1"/>
          <w:sz w:val="21"/>
          <w:szCs w:val="21"/>
          <w:highlight w:val="none"/>
          <w:u w:val="single"/>
          <w:shd w:val="clear" w:color="auto" w:fill="FFFFFF"/>
          <w14:textFill>
            <w14:solidFill>
              <w14:schemeClr w14:val="tx1"/>
            </w14:solidFill>
          </w14:textFill>
        </w:rPr>
        <w:t xml:space="preserve">        </w:t>
      </w:r>
      <w:r>
        <w:rPr>
          <w:rFonts w:hint="eastAsia" w:ascii="宋体" w:hAnsi="宋体" w:cs="宋体"/>
          <w:color w:val="000000" w:themeColor="text1"/>
          <w:sz w:val="21"/>
          <w:szCs w:val="21"/>
          <w:highlight w:val="none"/>
          <w:shd w:val="clear" w:color="auto" w:fill="FFFFFF"/>
          <w14:textFill>
            <w14:solidFill>
              <w14:schemeClr w14:val="tx1"/>
            </w14:solidFill>
          </w14:textFill>
        </w:rPr>
        <w:t>。</w:t>
      </w:r>
    </w:p>
    <w:p w14:paraId="333C4183">
      <w:pPr>
        <w:keepNext w:val="0"/>
        <w:keepLines w:val="0"/>
        <w:pageBreakBefore w:val="0"/>
        <w:wordWrap/>
        <w:overflowPunct/>
        <w:topLinePunct w:val="0"/>
        <w:bidi w:val="0"/>
        <w:spacing w:beforeAutospacing="0" w:afterAutospacing="0" w:line="360" w:lineRule="auto"/>
        <w:ind w:left="3812" w:firstLine="406"/>
        <w:rPr>
          <w:rFonts w:ascii="宋体" w:hAnsi="宋体" w:cs="宋体"/>
          <w:b/>
          <w:bCs/>
          <w:color w:val="000000" w:themeColor="text1"/>
          <w:spacing w:val="-4"/>
          <w:sz w:val="21"/>
          <w:szCs w:val="21"/>
          <w:highlight w:val="none"/>
          <w14:textFill>
            <w14:solidFill>
              <w14:schemeClr w14:val="tx1"/>
            </w14:solidFill>
          </w14:textFill>
        </w:rPr>
      </w:pPr>
      <w:r>
        <w:rPr>
          <w:rFonts w:hint="eastAsia" w:ascii="宋体" w:hAnsi="宋体" w:cs="宋体"/>
          <w:b/>
          <w:bCs/>
          <w:color w:val="000000" w:themeColor="text1"/>
          <w:spacing w:val="-4"/>
          <w:sz w:val="21"/>
          <w:szCs w:val="21"/>
          <w:highlight w:val="none"/>
          <w14:textFill>
            <w14:solidFill>
              <w14:schemeClr w14:val="tx1"/>
            </w14:solidFill>
          </w14:textFill>
        </w:rPr>
        <w:t>清单一览表</w:t>
      </w:r>
    </w:p>
    <w:tbl>
      <w:tblPr>
        <w:tblStyle w:val="8"/>
        <w:tblW w:w="96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1"/>
        <w:gridCol w:w="2578"/>
        <w:gridCol w:w="1985"/>
        <w:gridCol w:w="1276"/>
        <w:gridCol w:w="1417"/>
        <w:gridCol w:w="1559"/>
      </w:tblGrid>
      <w:tr w14:paraId="13C165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821" w:type="dxa"/>
            <w:vAlign w:val="center"/>
          </w:tcPr>
          <w:p w14:paraId="3CAA262E">
            <w:pPr>
              <w:pStyle w:val="2"/>
              <w:keepNext w:val="0"/>
              <w:keepLines w:val="0"/>
              <w:pageBreakBefore w:val="0"/>
              <w:wordWrap/>
              <w:overflowPunct/>
              <w:topLinePunct w:val="0"/>
              <w:bidi w:val="0"/>
              <w:spacing w:before="0" w:beforeLines="0" w:beforeAutospacing="0" w:afterAutospacing="0" w:line="360" w:lineRule="auto"/>
              <w:ind w:firstLine="0"/>
              <w:jc w:val="center"/>
              <w:rPr>
                <w:rFonts w:ascii="宋体" w:hAnsi="宋体" w:cs="宋体"/>
                <w:b/>
                <w:color w:val="000000" w:themeColor="text1"/>
                <w:kern w:val="0"/>
                <w:sz w:val="21"/>
                <w:szCs w:val="21"/>
                <w:highlight w:val="none"/>
                <w14:textFill>
                  <w14:solidFill>
                    <w14:schemeClr w14:val="tx1"/>
                  </w14:solidFill>
                </w14:textFill>
              </w:rPr>
            </w:pPr>
            <w:r>
              <w:rPr>
                <w:rFonts w:hint="eastAsia" w:ascii="宋体" w:hAnsi="宋体" w:cs="宋体"/>
                <w:b/>
                <w:color w:val="000000" w:themeColor="text1"/>
                <w:kern w:val="0"/>
                <w:sz w:val="21"/>
                <w:szCs w:val="21"/>
                <w:highlight w:val="none"/>
                <w14:textFill>
                  <w14:solidFill>
                    <w14:schemeClr w14:val="tx1"/>
                  </w14:solidFill>
                </w14:textFill>
              </w:rPr>
              <w:t>序号</w:t>
            </w:r>
          </w:p>
        </w:tc>
        <w:tc>
          <w:tcPr>
            <w:tcW w:w="2578" w:type="dxa"/>
            <w:vAlign w:val="center"/>
          </w:tcPr>
          <w:p w14:paraId="05EB71D9">
            <w:pPr>
              <w:pStyle w:val="2"/>
              <w:keepNext w:val="0"/>
              <w:keepLines w:val="0"/>
              <w:pageBreakBefore w:val="0"/>
              <w:wordWrap/>
              <w:overflowPunct/>
              <w:topLinePunct w:val="0"/>
              <w:bidi w:val="0"/>
              <w:spacing w:before="0" w:beforeLines="0" w:beforeAutospacing="0" w:afterAutospacing="0" w:line="360" w:lineRule="auto"/>
              <w:ind w:firstLine="0"/>
              <w:jc w:val="center"/>
              <w:rPr>
                <w:rFonts w:ascii="宋体" w:hAnsi="宋体" w:cs="宋体"/>
                <w:b/>
                <w:color w:val="000000" w:themeColor="text1"/>
                <w:kern w:val="0"/>
                <w:sz w:val="21"/>
                <w:szCs w:val="21"/>
                <w:highlight w:val="none"/>
                <w14:textFill>
                  <w14:solidFill>
                    <w14:schemeClr w14:val="tx1"/>
                  </w14:solidFill>
                </w14:textFill>
              </w:rPr>
            </w:pPr>
            <w:r>
              <w:rPr>
                <w:rFonts w:hint="eastAsia" w:ascii="宋体" w:hAnsi="宋体" w:cs="宋体"/>
                <w:b/>
                <w:color w:val="000000" w:themeColor="text1"/>
                <w:kern w:val="0"/>
                <w:sz w:val="21"/>
                <w:szCs w:val="21"/>
                <w:highlight w:val="none"/>
                <w14:textFill>
                  <w14:solidFill>
                    <w14:schemeClr w14:val="tx1"/>
                  </w14:solidFill>
                </w14:textFill>
              </w:rPr>
              <w:t>服务名称</w:t>
            </w:r>
          </w:p>
        </w:tc>
        <w:tc>
          <w:tcPr>
            <w:tcW w:w="1985" w:type="dxa"/>
            <w:vAlign w:val="center"/>
          </w:tcPr>
          <w:p w14:paraId="399E1D3D">
            <w:pPr>
              <w:pStyle w:val="2"/>
              <w:keepNext w:val="0"/>
              <w:keepLines w:val="0"/>
              <w:pageBreakBefore w:val="0"/>
              <w:wordWrap/>
              <w:overflowPunct/>
              <w:topLinePunct w:val="0"/>
              <w:bidi w:val="0"/>
              <w:spacing w:before="0" w:beforeLines="0" w:beforeAutospacing="0" w:afterAutospacing="0" w:line="360" w:lineRule="auto"/>
              <w:ind w:firstLine="0"/>
              <w:jc w:val="center"/>
              <w:rPr>
                <w:rFonts w:ascii="宋体" w:hAnsi="宋体" w:cs="宋体"/>
                <w:b/>
                <w:color w:val="000000" w:themeColor="text1"/>
                <w:kern w:val="0"/>
                <w:sz w:val="21"/>
                <w:szCs w:val="21"/>
                <w:highlight w:val="none"/>
                <w14:textFill>
                  <w14:solidFill>
                    <w14:schemeClr w14:val="tx1"/>
                  </w14:solidFill>
                </w14:textFill>
              </w:rPr>
            </w:pPr>
            <w:r>
              <w:rPr>
                <w:rFonts w:hint="eastAsia" w:ascii="宋体" w:hAnsi="宋体" w:cs="宋体"/>
                <w:b/>
                <w:color w:val="000000" w:themeColor="text1"/>
                <w:kern w:val="0"/>
                <w:sz w:val="21"/>
                <w:szCs w:val="21"/>
                <w:highlight w:val="none"/>
                <w14:textFill>
                  <w14:solidFill>
                    <w14:schemeClr w14:val="tx1"/>
                  </w14:solidFill>
                </w14:textFill>
              </w:rPr>
              <w:t>服务内容</w:t>
            </w:r>
          </w:p>
        </w:tc>
        <w:tc>
          <w:tcPr>
            <w:tcW w:w="1276" w:type="dxa"/>
            <w:vAlign w:val="center"/>
          </w:tcPr>
          <w:p w14:paraId="1C9D1A84">
            <w:pPr>
              <w:pStyle w:val="2"/>
              <w:keepNext w:val="0"/>
              <w:keepLines w:val="0"/>
              <w:pageBreakBefore w:val="0"/>
              <w:wordWrap/>
              <w:overflowPunct/>
              <w:topLinePunct w:val="0"/>
              <w:bidi w:val="0"/>
              <w:spacing w:before="0" w:beforeLines="0" w:beforeAutospacing="0" w:afterAutospacing="0" w:line="360" w:lineRule="auto"/>
              <w:ind w:firstLine="0"/>
              <w:jc w:val="center"/>
              <w:rPr>
                <w:rFonts w:ascii="宋体" w:hAnsi="宋体" w:cs="宋体"/>
                <w:b/>
                <w:color w:val="000000" w:themeColor="text1"/>
                <w:kern w:val="0"/>
                <w:sz w:val="21"/>
                <w:szCs w:val="21"/>
                <w:highlight w:val="none"/>
                <w14:textFill>
                  <w14:solidFill>
                    <w14:schemeClr w14:val="tx1"/>
                  </w14:solidFill>
                </w14:textFill>
              </w:rPr>
            </w:pPr>
            <w:r>
              <w:rPr>
                <w:rFonts w:hint="eastAsia" w:ascii="宋体" w:hAnsi="宋体" w:cs="宋体"/>
                <w:b/>
                <w:color w:val="000000" w:themeColor="text1"/>
                <w:kern w:val="0"/>
                <w:sz w:val="21"/>
                <w:szCs w:val="21"/>
                <w:highlight w:val="none"/>
                <w14:textFill>
                  <w14:solidFill>
                    <w14:schemeClr w14:val="tx1"/>
                  </w14:solidFill>
                </w14:textFill>
              </w:rPr>
              <w:t>计量单位</w:t>
            </w:r>
          </w:p>
        </w:tc>
        <w:tc>
          <w:tcPr>
            <w:tcW w:w="1417" w:type="dxa"/>
            <w:vAlign w:val="center"/>
          </w:tcPr>
          <w:p w14:paraId="57CB152C">
            <w:pPr>
              <w:pStyle w:val="2"/>
              <w:keepNext w:val="0"/>
              <w:keepLines w:val="0"/>
              <w:pageBreakBefore w:val="0"/>
              <w:wordWrap/>
              <w:overflowPunct/>
              <w:topLinePunct w:val="0"/>
              <w:bidi w:val="0"/>
              <w:spacing w:before="0" w:beforeLines="0" w:beforeAutospacing="0" w:afterAutospacing="0" w:line="360" w:lineRule="auto"/>
              <w:ind w:firstLine="0"/>
              <w:jc w:val="center"/>
              <w:rPr>
                <w:rFonts w:ascii="宋体" w:hAnsi="宋体" w:cs="宋体"/>
                <w:b/>
                <w:color w:val="000000" w:themeColor="text1"/>
                <w:kern w:val="0"/>
                <w:sz w:val="21"/>
                <w:szCs w:val="21"/>
                <w:highlight w:val="none"/>
                <w14:textFill>
                  <w14:solidFill>
                    <w14:schemeClr w14:val="tx1"/>
                  </w14:solidFill>
                </w14:textFill>
              </w:rPr>
            </w:pPr>
            <w:r>
              <w:rPr>
                <w:rFonts w:hint="eastAsia" w:ascii="宋体" w:hAnsi="宋体" w:cs="宋体"/>
                <w:b/>
                <w:color w:val="000000" w:themeColor="text1"/>
                <w:kern w:val="0"/>
                <w:sz w:val="21"/>
                <w:szCs w:val="21"/>
                <w:highlight w:val="none"/>
                <w14:textFill>
                  <w14:solidFill>
                    <w14:schemeClr w14:val="tx1"/>
                  </w14:solidFill>
                </w14:textFill>
              </w:rPr>
              <w:t>数量</w:t>
            </w:r>
          </w:p>
        </w:tc>
        <w:tc>
          <w:tcPr>
            <w:tcW w:w="1559" w:type="dxa"/>
            <w:vAlign w:val="center"/>
          </w:tcPr>
          <w:p w14:paraId="0665F944">
            <w:pPr>
              <w:pStyle w:val="2"/>
              <w:keepNext w:val="0"/>
              <w:keepLines w:val="0"/>
              <w:pageBreakBefore w:val="0"/>
              <w:wordWrap/>
              <w:overflowPunct/>
              <w:topLinePunct w:val="0"/>
              <w:bidi w:val="0"/>
              <w:spacing w:before="0" w:beforeLines="0" w:beforeAutospacing="0" w:afterAutospacing="0" w:line="360" w:lineRule="auto"/>
              <w:ind w:firstLine="0"/>
              <w:jc w:val="center"/>
              <w:rPr>
                <w:rFonts w:ascii="宋体" w:hAnsi="宋体" w:cs="宋体"/>
                <w:b/>
                <w:color w:val="000000" w:themeColor="text1"/>
                <w:kern w:val="0"/>
                <w:sz w:val="21"/>
                <w:szCs w:val="21"/>
                <w:highlight w:val="none"/>
                <w14:textFill>
                  <w14:solidFill>
                    <w14:schemeClr w14:val="tx1"/>
                  </w14:solidFill>
                </w14:textFill>
              </w:rPr>
            </w:pPr>
            <w:r>
              <w:rPr>
                <w:rFonts w:hint="eastAsia" w:ascii="宋体" w:hAnsi="宋体" w:cs="宋体"/>
                <w:b/>
                <w:color w:val="000000" w:themeColor="text1"/>
                <w:kern w:val="0"/>
                <w:sz w:val="21"/>
                <w:szCs w:val="21"/>
                <w:highlight w:val="none"/>
                <w14:textFill>
                  <w14:solidFill>
                    <w14:schemeClr w14:val="tx1"/>
                  </w14:solidFill>
                </w14:textFill>
              </w:rPr>
              <w:t>服务费用</w:t>
            </w:r>
          </w:p>
        </w:tc>
      </w:tr>
      <w:tr w14:paraId="254350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821" w:type="dxa"/>
            <w:vAlign w:val="center"/>
          </w:tcPr>
          <w:p w14:paraId="65CF40D1">
            <w:pPr>
              <w:pStyle w:val="9"/>
              <w:keepNext w:val="0"/>
              <w:keepLines w:val="0"/>
              <w:pageBreakBefore w:val="0"/>
              <w:wordWrap/>
              <w:overflowPunct/>
              <w:topLinePunct w:val="0"/>
              <w:bidi w:val="0"/>
              <w:spacing w:beforeAutospacing="0" w:afterAutospacing="0" w:line="360" w:lineRule="auto"/>
              <w:ind w:firstLine="210"/>
              <w:rPr>
                <w:rFonts w:ascii="宋体" w:hAnsi="宋体" w:cs="宋体"/>
                <w:snapToGrid/>
                <w:color w:val="000000" w:themeColor="text1"/>
                <w:sz w:val="21"/>
                <w:szCs w:val="21"/>
                <w:highlight w:val="none"/>
                <w14:textFill>
                  <w14:solidFill>
                    <w14:schemeClr w14:val="tx1"/>
                  </w14:solidFill>
                </w14:textFill>
              </w:rPr>
            </w:pPr>
          </w:p>
        </w:tc>
        <w:tc>
          <w:tcPr>
            <w:tcW w:w="2578" w:type="dxa"/>
            <w:vAlign w:val="center"/>
          </w:tcPr>
          <w:p w14:paraId="5D8AAD0B">
            <w:pPr>
              <w:pStyle w:val="9"/>
              <w:keepNext w:val="0"/>
              <w:keepLines w:val="0"/>
              <w:pageBreakBefore w:val="0"/>
              <w:wordWrap/>
              <w:overflowPunct/>
              <w:topLinePunct w:val="0"/>
              <w:bidi w:val="0"/>
              <w:spacing w:beforeAutospacing="0" w:afterAutospacing="0" w:line="360" w:lineRule="auto"/>
              <w:ind w:firstLine="210"/>
              <w:rPr>
                <w:rFonts w:ascii="宋体" w:hAnsi="宋体" w:cs="宋体"/>
                <w:snapToGrid/>
                <w:color w:val="000000" w:themeColor="text1"/>
                <w:sz w:val="21"/>
                <w:szCs w:val="21"/>
                <w:highlight w:val="none"/>
                <w14:textFill>
                  <w14:solidFill>
                    <w14:schemeClr w14:val="tx1"/>
                  </w14:solidFill>
                </w14:textFill>
              </w:rPr>
            </w:pPr>
          </w:p>
        </w:tc>
        <w:tc>
          <w:tcPr>
            <w:tcW w:w="1985" w:type="dxa"/>
            <w:vAlign w:val="center"/>
          </w:tcPr>
          <w:p w14:paraId="22128372">
            <w:pPr>
              <w:pStyle w:val="9"/>
              <w:keepNext w:val="0"/>
              <w:keepLines w:val="0"/>
              <w:pageBreakBefore w:val="0"/>
              <w:wordWrap/>
              <w:overflowPunct/>
              <w:topLinePunct w:val="0"/>
              <w:bidi w:val="0"/>
              <w:spacing w:beforeAutospacing="0" w:afterAutospacing="0" w:line="360" w:lineRule="auto"/>
              <w:ind w:firstLine="210"/>
              <w:rPr>
                <w:rFonts w:ascii="宋体" w:hAnsi="宋体" w:cs="宋体"/>
                <w:snapToGrid/>
                <w:color w:val="000000" w:themeColor="text1"/>
                <w:sz w:val="21"/>
                <w:szCs w:val="21"/>
                <w:highlight w:val="none"/>
                <w14:textFill>
                  <w14:solidFill>
                    <w14:schemeClr w14:val="tx1"/>
                  </w14:solidFill>
                </w14:textFill>
              </w:rPr>
            </w:pPr>
          </w:p>
        </w:tc>
        <w:tc>
          <w:tcPr>
            <w:tcW w:w="1276" w:type="dxa"/>
            <w:vAlign w:val="center"/>
          </w:tcPr>
          <w:p w14:paraId="321AA3B2">
            <w:pPr>
              <w:keepNext w:val="0"/>
              <w:keepLines w:val="0"/>
              <w:pageBreakBefore w:val="0"/>
              <w:wordWrap/>
              <w:overflowPunct/>
              <w:topLinePunct w:val="0"/>
              <w:bidi w:val="0"/>
              <w:spacing w:beforeAutospacing="0" w:afterAutospacing="0" w:line="360" w:lineRule="auto"/>
              <w:ind w:left="5250" w:right="-199" w:firstLine="420"/>
              <w:jc w:val="center"/>
              <w:rPr>
                <w:rFonts w:ascii="宋体" w:hAnsi="宋体" w:cs="宋体"/>
                <w:bCs/>
                <w:snapToGrid w:val="0"/>
                <w:color w:val="000000" w:themeColor="text1"/>
                <w:kern w:val="0"/>
                <w:sz w:val="21"/>
                <w:szCs w:val="21"/>
                <w:highlight w:val="none"/>
                <w14:textFill>
                  <w14:solidFill>
                    <w14:schemeClr w14:val="tx1"/>
                  </w14:solidFill>
                </w14:textFill>
              </w:rPr>
            </w:pPr>
            <w:r>
              <w:rPr>
                <w:rFonts w:hint="eastAsia" w:ascii="宋体" w:hAnsi="宋体" w:cs="宋体"/>
                <w:bCs/>
                <w:snapToGrid w:val="0"/>
                <w:color w:val="000000" w:themeColor="text1"/>
                <w:kern w:val="0"/>
                <w:sz w:val="21"/>
                <w:szCs w:val="21"/>
                <w:highlight w:val="none"/>
                <w14:textFill>
                  <w14:solidFill>
                    <w14:schemeClr w14:val="tx1"/>
                  </w14:solidFill>
                </w14:textFill>
              </w:rPr>
              <w:t>个</w:t>
            </w:r>
          </w:p>
        </w:tc>
        <w:tc>
          <w:tcPr>
            <w:tcW w:w="1417" w:type="dxa"/>
            <w:vAlign w:val="center"/>
          </w:tcPr>
          <w:p w14:paraId="79AA577B">
            <w:pPr>
              <w:keepNext w:val="0"/>
              <w:keepLines w:val="0"/>
              <w:pageBreakBefore w:val="0"/>
              <w:wordWrap/>
              <w:overflowPunct/>
              <w:topLinePunct w:val="0"/>
              <w:bidi w:val="0"/>
              <w:spacing w:beforeAutospacing="0" w:afterAutospacing="0" w:line="360" w:lineRule="auto"/>
              <w:ind w:left="5250" w:right="-199" w:firstLine="420"/>
              <w:jc w:val="center"/>
              <w:rPr>
                <w:rFonts w:ascii="宋体" w:hAnsi="宋体" w:cs="宋体"/>
                <w:bCs/>
                <w:snapToGrid w:val="0"/>
                <w:color w:val="000000" w:themeColor="text1"/>
                <w:kern w:val="0"/>
                <w:sz w:val="21"/>
                <w:szCs w:val="21"/>
                <w:highlight w:val="none"/>
                <w14:textFill>
                  <w14:solidFill>
                    <w14:schemeClr w14:val="tx1"/>
                  </w14:solidFill>
                </w14:textFill>
              </w:rPr>
            </w:pPr>
          </w:p>
        </w:tc>
        <w:tc>
          <w:tcPr>
            <w:tcW w:w="1559" w:type="dxa"/>
            <w:vAlign w:val="center"/>
          </w:tcPr>
          <w:p w14:paraId="644AF4B8">
            <w:pPr>
              <w:keepNext w:val="0"/>
              <w:keepLines w:val="0"/>
              <w:pageBreakBefore w:val="0"/>
              <w:wordWrap/>
              <w:overflowPunct/>
              <w:topLinePunct w:val="0"/>
              <w:bidi w:val="0"/>
              <w:spacing w:beforeAutospacing="0" w:afterAutospacing="0" w:line="360" w:lineRule="auto"/>
              <w:ind w:left="5250" w:right="-199" w:firstLine="420"/>
              <w:jc w:val="center"/>
              <w:rPr>
                <w:rFonts w:ascii="宋体" w:hAnsi="宋体" w:cs="宋体"/>
                <w:bCs/>
                <w:snapToGrid w:val="0"/>
                <w:color w:val="000000" w:themeColor="text1"/>
                <w:kern w:val="0"/>
                <w:sz w:val="21"/>
                <w:szCs w:val="21"/>
                <w:highlight w:val="none"/>
                <w14:textFill>
                  <w14:solidFill>
                    <w14:schemeClr w14:val="tx1"/>
                  </w14:solidFill>
                </w14:textFill>
              </w:rPr>
            </w:pPr>
          </w:p>
        </w:tc>
      </w:tr>
      <w:tr w14:paraId="3D7B7F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821" w:type="dxa"/>
            <w:vAlign w:val="center"/>
          </w:tcPr>
          <w:p w14:paraId="4660D23E">
            <w:pPr>
              <w:pStyle w:val="9"/>
              <w:keepNext w:val="0"/>
              <w:keepLines w:val="0"/>
              <w:pageBreakBefore w:val="0"/>
              <w:wordWrap/>
              <w:overflowPunct/>
              <w:topLinePunct w:val="0"/>
              <w:bidi w:val="0"/>
              <w:spacing w:beforeAutospacing="0" w:afterAutospacing="0" w:line="360" w:lineRule="auto"/>
              <w:ind w:firstLine="210"/>
              <w:rPr>
                <w:rFonts w:ascii="宋体" w:hAnsi="宋体" w:cs="宋体"/>
                <w:snapToGrid/>
                <w:color w:val="000000" w:themeColor="text1"/>
                <w:sz w:val="21"/>
                <w:szCs w:val="21"/>
                <w:highlight w:val="none"/>
                <w14:textFill>
                  <w14:solidFill>
                    <w14:schemeClr w14:val="tx1"/>
                  </w14:solidFill>
                </w14:textFill>
              </w:rPr>
            </w:pPr>
          </w:p>
        </w:tc>
        <w:tc>
          <w:tcPr>
            <w:tcW w:w="2578" w:type="dxa"/>
            <w:vAlign w:val="center"/>
          </w:tcPr>
          <w:p w14:paraId="1033847E">
            <w:pPr>
              <w:pStyle w:val="9"/>
              <w:keepNext w:val="0"/>
              <w:keepLines w:val="0"/>
              <w:pageBreakBefore w:val="0"/>
              <w:wordWrap/>
              <w:overflowPunct/>
              <w:topLinePunct w:val="0"/>
              <w:bidi w:val="0"/>
              <w:spacing w:beforeAutospacing="0" w:afterAutospacing="0" w:line="360" w:lineRule="auto"/>
              <w:ind w:firstLine="210"/>
              <w:rPr>
                <w:rFonts w:ascii="宋体" w:hAnsi="宋体" w:cs="宋体"/>
                <w:snapToGrid/>
                <w:color w:val="000000" w:themeColor="text1"/>
                <w:sz w:val="21"/>
                <w:szCs w:val="21"/>
                <w:highlight w:val="none"/>
                <w14:textFill>
                  <w14:solidFill>
                    <w14:schemeClr w14:val="tx1"/>
                  </w14:solidFill>
                </w14:textFill>
              </w:rPr>
            </w:pPr>
          </w:p>
        </w:tc>
        <w:tc>
          <w:tcPr>
            <w:tcW w:w="1985" w:type="dxa"/>
            <w:vAlign w:val="center"/>
          </w:tcPr>
          <w:p w14:paraId="2E747C05">
            <w:pPr>
              <w:pStyle w:val="9"/>
              <w:keepNext w:val="0"/>
              <w:keepLines w:val="0"/>
              <w:pageBreakBefore w:val="0"/>
              <w:wordWrap/>
              <w:overflowPunct/>
              <w:topLinePunct w:val="0"/>
              <w:bidi w:val="0"/>
              <w:spacing w:beforeAutospacing="0" w:afterAutospacing="0" w:line="360" w:lineRule="auto"/>
              <w:ind w:firstLine="210"/>
              <w:rPr>
                <w:rFonts w:ascii="宋体" w:hAnsi="宋体" w:cs="宋体"/>
                <w:snapToGrid/>
                <w:color w:val="000000" w:themeColor="text1"/>
                <w:sz w:val="21"/>
                <w:szCs w:val="21"/>
                <w:highlight w:val="none"/>
                <w14:textFill>
                  <w14:solidFill>
                    <w14:schemeClr w14:val="tx1"/>
                  </w14:solidFill>
                </w14:textFill>
              </w:rPr>
            </w:pPr>
          </w:p>
        </w:tc>
        <w:tc>
          <w:tcPr>
            <w:tcW w:w="1276" w:type="dxa"/>
            <w:vAlign w:val="center"/>
          </w:tcPr>
          <w:p w14:paraId="583DFEA2">
            <w:pPr>
              <w:keepNext w:val="0"/>
              <w:keepLines w:val="0"/>
              <w:pageBreakBefore w:val="0"/>
              <w:wordWrap/>
              <w:overflowPunct/>
              <w:topLinePunct w:val="0"/>
              <w:bidi w:val="0"/>
              <w:spacing w:beforeAutospacing="0" w:afterAutospacing="0" w:line="360" w:lineRule="auto"/>
              <w:ind w:left="5250" w:right="-199" w:firstLine="420"/>
              <w:jc w:val="center"/>
              <w:rPr>
                <w:rFonts w:ascii="宋体" w:hAnsi="宋体" w:cs="宋体"/>
                <w:bCs/>
                <w:snapToGrid w:val="0"/>
                <w:color w:val="000000" w:themeColor="text1"/>
                <w:kern w:val="0"/>
                <w:sz w:val="21"/>
                <w:szCs w:val="21"/>
                <w:highlight w:val="none"/>
                <w14:textFill>
                  <w14:solidFill>
                    <w14:schemeClr w14:val="tx1"/>
                  </w14:solidFill>
                </w14:textFill>
              </w:rPr>
            </w:pPr>
          </w:p>
        </w:tc>
        <w:tc>
          <w:tcPr>
            <w:tcW w:w="1417" w:type="dxa"/>
            <w:vAlign w:val="center"/>
          </w:tcPr>
          <w:p w14:paraId="0E753721">
            <w:pPr>
              <w:keepNext w:val="0"/>
              <w:keepLines w:val="0"/>
              <w:pageBreakBefore w:val="0"/>
              <w:wordWrap/>
              <w:overflowPunct/>
              <w:topLinePunct w:val="0"/>
              <w:bidi w:val="0"/>
              <w:spacing w:beforeAutospacing="0" w:afterAutospacing="0" w:line="360" w:lineRule="auto"/>
              <w:ind w:left="5250" w:right="-199" w:firstLine="420"/>
              <w:jc w:val="center"/>
              <w:rPr>
                <w:rFonts w:ascii="宋体" w:hAnsi="宋体" w:cs="宋体"/>
                <w:bCs/>
                <w:snapToGrid w:val="0"/>
                <w:color w:val="000000" w:themeColor="text1"/>
                <w:kern w:val="0"/>
                <w:sz w:val="21"/>
                <w:szCs w:val="21"/>
                <w:highlight w:val="none"/>
                <w14:textFill>
                  <w14:solidFill>
                    <w14:schemeClr w14:val="tx1"/>
                  </w14:solidFill>
                </w14:textFill>
              </w:rPr>
            </w:pPr>
          </w:p>
        </w:tc>
        <w:tc>
          <w:tcPr>
            <w:tcW w:w="1559" w:type="dxa"/>
            <w:vAlign w:val="center"/>
          </w:tcPr>
          <w:p w14:paraId="0F939B54">
            <w:pPr>
              <w:keepNext w:val="0"/>
              <w:keepLines w:val="0"/>
              <w:pageBreakBefore w:val="0"/>
              <w:wordWrap/>
              <w:overflowPunct/>
              <w:topLinePunct w:val="0"/>
              <w:bidi w:val="0"/>
              <w:spacing w:beforeAutospacing="0" w:afterAutospacing="0" w:line="360" w:lineRule="auto"/>
              <w:ind w:left="5250" w:right="-199" w:firstLine="420"/>
              <w:jc w:val="center"/>
              <w:rPr>
                <w:rFonts w:ascii="宋体" w:hAnsi="宋体" w:cs="宋体"/>
                <w:bCs/>
                <w:snapToGrid w:val="0"/>
                <w:color w:val="000000" w:themeColor="text1"/>
                <w:kern w:val="0"/>
                <w:sz w:val="21"/>
                <w:szCs w:val="21"/>
                <w:highlight w:val="none"/>
                <w14:textFill>
                  <w14:solidFill>
                    <w14:schemeClr w14:val="tx1"/>
                  </w14:solidFill>
                </w14:textFill>
              </w:rPr>
            </w:pPr>
          </w:p>
        </w:tc>
      </w:tr>
      <w:tr w14:paraId="49C5F4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6" w:hRule="atLeast"/>
          <w:jc w:val="center"/>
        </w:trPr>
        <w:tc>
          <w:tcPr>
            <w:tcW w:w="9636" w:type="dxa"/>
            <w:gridSpan w:val="6"/>
            <w:vAlign w:val="center"/>
          </w:tcPr>
          <w:p w14:paraId="511CE606">
            <w:pPr>
              <w:keepNext w:val="0"/>
              <w:keepLines w:val="0"/>
              <w:pageBreakBefore w:val="0"/>
              <w:widowControl w:val="0"/>
              <w:kinsoku/>
              <w:wordWrap/>
              <w:overflowPunct/>
              <w:topLinePunct w:val="0"/>
              <w:autoSpaceDE/>
              <w:autoSpaceDN/>
              <w:bidi w:val="0"/>
              <w:adjustRightInd/>
              <w:snapToGrid/>
              <w:spacing w:line="216" w:lineRule="auto"/>
              <w:textAlignment w:val="auto"/>
              <w:rPr>
                <w:rFonts w:ascii="宋体" w:hAnsi="宋体" w:cs="宋体"/>
                <w:color w:val="000000" w:themeColor="text1"/>
                <w:kern w:val="0"/>
                <w:sz w:val="21"/>
                <w:szCs w:val="21"/>
                <w:highlight w:val="none"/>
                <w14:textFill>
                  <w14:solidFill>
                    <w14:schemeClr w14:val="tx1"/>
                  </w14:solidFill>
                </w14:textFill>
              </w:rPr>
            </w:pPr>
            <w:r>
              <w:rPr>
                <w:rFonts w:hint="eastAsia" w:ascii="宋体" w:hAnsi="宋体" w:eastAsia="宋体" w:cs="宋体"/>
                <w:b/>
                <w:bCs/>
                <w:color w:val="000000" w:themeColor="text1"/>
                <w:kern w:val="0"/>
                <w:sz w:val="21"/>
                <w:szCs w:val="21"/>
                <w:highlight w:val="none"/>
                <w14:textFill>
                  <w14:solidFill>
                    <w14:schemeClr w14:val="tx1"/>
                  </w14:solidFill>
                </w14:textFill>
              </w:rPr>
              <w:t>注：</w:t>
            </w:r>
            <w:r>
              <w:rPr>
                <w:rFonts w:hint="eastAsia" w:ascii="宋体" w:hAnsi="宋体" w:eastAsia="宋体" w:cs="宋体"/>
                <w:b w:val="0"/>
                <w:bCs w:val="0"/>
                <w:color w:val="000000" w:themeColor="text1"/>
                <w:kern w:val="0"/>
                <w:sz w:val="21"/>
                <w:szCs w:val="21"/>
                <w:highlight w:val="none"/>
                <w14:textFill>
                  <w14:solidFill>
                    <w14:schemeClr w14:val="tx1"/>
                  </w14:solidFill>
                </w14:textFill>
              </w:rPr>
              <w:t>合同</w:t>
            </w:r>
            <w:r>
              <w:rPr>
                <w:rFonts w:hint="eastAsia" w:ascii="宋体" w:hAnsi="宋体" w:eastAsia="宋体" w:cs="宋体"/>
                <w:i w:val="0"/>
                <w:iCs w:val="0"/>
                <w:caps w:val="0"/>
                <w:color w:val="000000" w:themeColor="text1"/>
                <w:spacing w:val="0"/>
                <w:sz w:val="21"/>
                <w:szCs w:val="21"/>
                <w:highlight w:val="none"/>
                <w:shd w:val="clear" w:color="auto" w:fill="FFFFFF"/>
                <w:lang w:val="en-US" w:eastAsia="zh-CN"/>
                <w14:textFill>
                  <w14:solidFill>
                    <w14:schemeClr w14:val="tx1"/>
                  </w14:solidFill>
                </w14:textFill>
              </w:rPr>
              <w:t>价款是完成全部服务内容</w:t>
            </w:r>
            <w:r>
              <w:rPr>
                <w:rFonts w:hint="eastAsia" w:ascii="宋体" w:hAnsi="宋体" w:eastAsia="宋体" w:cs="宋体"/>
                <w:b w:val="0"/>
                <w:bCs w:val="0"/>
                <w:color w:val="000000" w:themeColor="text1"/>
                <w:kern w:val="0"/>
                <w:sz w:val="21"/>
                <w:szCs w:val="21"/>
                <w:highlight w:val="none"/>
                <w14:textFill>
                  <w14:solidFill>
                    <w14:schemeClr w14:val="tx1"/>
                  </w14:solidFill>
                </w14:textFill>
              </w:rPr>
              <w:t>所需的直接费用、间接费、利润、税金及其它相关的一切费用，包括但不限于：人工费、食材采购费、配送费、社保、取暖费、降温费、人员工资、保险费、管理费、验收费、服务费（含售后）、利润和税金等全部费用；在提供服务的过程中的任何遗漏，均由乙方免费提供，甲方将不再支付任何费用）。</w:t>
            </w:r>
          </w:p>
        </w:tc>
      </w:tr>
    </w:tbl>
    <w:p w14:paraId="4A3581B5">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按月据实结算（按各大市场食材平均价格*实际配送数量*折扣率），次月15日前甲方根据乙方提供所供货物清单对所供货物的数量、价格、折扣率等进行核实，经核实无误后在供货结算单上签字确认，一次性据实结算上月的费用。</w:t>
      </w:r>
    </w:p>
    <w:p w14:paraId="6F3CF226">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付款前，乙方应开具与付款金额一致的正式发票给甲方，甲方收到发票后以银行转账形式支付给乙方服务费用；因乙方未在规定时间内提供所供货物清单或发票而导致结算延迟的，甲方有权拒绝付款且不承担任何违约责任，且乙方不得以此为由停止履行本合同项下的任意义务。</w:t>
      </w:r>
    </w:p>
    <w:p w14:paraId="56FB6D01">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4、因甲方所有的付款均审批，本合同履行期间，非因甲方故意拖延付款申请流程或年终预决算等特殊原因造成的逾期付款的，乙方对此予以谅解且不得追究甲方的逾期付款责任。</w:t>
      </w:r>
    </w:p>
    <w:p w14:paraId="6FA8FA82">
      <w:pPr>
        <w:keepNext w:val="0"/>
        <w:keepLines w:val="0"/>
        <w:pageBreakBefore w:val="0"/>
        <w:wordWrap/>
        <w:overflowPunct/>
        <w:topLinePunct w:val="0"/>
        <w:bidi w:val="0"/>
        <w:spacing w:beforeAutospacing="0" w:afterAutospacing="0" w:line="360" w:lineRule="auto"/>
        <w:ind w:firstLine="420"/>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default" w:ascii="宋体" w:hAnsi="宋体" w:eastAsia="宋体" w:cs="宋体"/>
          <w:color w:val="000000" w:themeColor="text1"/>
          <w:sz w:val="21"/>
          <w:szCs w:val="21"/>
          <w:highlight w:val="none"/>
          <w:lang w:val="en-US" w:eastAsia="zh-CN"/>
          <w14:textFill>
            <w14:solidFill>
              <w14:schemeClr w14:val="tx1"/>
            </w14:solidFill>
          </w14:textFill>
        </w:rPr>
        <w:t>5、甲方可直接或间接地根据服务绩效管理办法对项目进行绩效评价，资金支付将与绩效评价结果关联，其中评价结果为优的，付至合同总价的</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1"/>
          <w:szCs w:val="21"/>
          <w:highlight w:val="none"/>
          <w:lang w:val="en-US" w:eastAsia="zh-CN"/>
          <w14:textFill>
            <w14:solidFill>
              <w14:schemeClr w14:val="tx1"/>
            </w14:solidFill>
          </w14:textFill>
        </w:rPr>
        <w:t>%，评价结果为良好的，付至合同总价的</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1"/>
          <w:szCs w:val="21"/>
          <w:highlight w:val="none"/>
          <w:lang w:val="en-US" w:eastAsia="zh-CN"/>
          <w14:textFill>
            <w14:solidFill>
              <w14:schemeClr w14:val="tx1"/>
            </w14:solidFill>
          </w14:textFill>
        </w:rPr>
        <w:t>%，评价结果为合格的，付至合同总价的</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1"/>
          <w:szCs w:val="21"/>
          <w:highlight w:val="none"/>
          <w:lang w:val="en-US" w:eastAsia="zh-CN"/>
          <w14:textFill>
            <w14:solidFill>
              <w14:schemeClr w14:val="tx1"/>
            </w14:solidFill>
          </w14:textFill>
        </w:rPr>
        <w:t>%，评价结果为差的，付至合同总价的</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1"/>
          <w:szCs w:val="21"/>
          <w:highlight w:val="none"/>
          <w:lang w:val="en-US" w:eastAsia="zh-CN"/>
          <w14:textFill>
            <w14:solidFill>
              <w14:schemeClr w14:val="tx1"/>
            </w14:solidFill>
          </w14:textFill>
        </w:rPr>
        <w:t>%。（90分以上为优秀，80分以上、不足90分的为良好，60分以上、不足80分的为合格，不足60分的为不合格）</w:t>
      </w:r>
    </w:p>
    <w:p w14:paraId="36BB77A0">
      <w:pPr>
        <w:keepNext w:val="0"/>
        <w:keepLines w:val="0"/>
        <w:pageBreakBefore w:val="0"/>
        <w:wordWrap/>
        <w:overflowPunct/>
        <w:topLinePunct w:val="0"/>
        <w:bidi w:val="0"/>
        <w:spacing w:beforeAutospacing="0" w:afterAutospacing="0" w:line="360" w:lineRule="auto"/>
        <w:rPr>
          <w:rFonts w:ascii="宋体" w:hAns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第</w:t>
      </w:r>
      <w:r>
        <w:rPr>
          <w:rFonts w:hint="eastAsia" w:ascii="宋体" w:hAnsi="宋体" w:cs="宋体"/>
          <w:b/>
          <w:color w:val="000000" w:themeColor="text1"/>
          <w:sz w:val="21"/>
          <w:szCs w:val="21"/>
          <w:highlight w:val="none"/>
          <w:lang w:val="en-US" w:eastAsia="zh-CN"/>
          <w14:textFill>
            <w14:solidFill>
              <w14:schemeClr w14:val="tx1"/>
            </w14:solidFill>
          </w14:textFill>
        </w:rPr>
        <w:t>四</w:t>
      </w:r>
      <w:r>
        <w:rPr>
          <w:rFonts w:hint="eastAsia" w:ascii="宋体" w:hAnsi="宋体" w:cs="宋体"/>
          <w:b/>
          <w:color w:val="000000" w:themeColor="text1"/>
          <w:sz w:val="21"/>
          <w:szCs w:val="21"/>
          <w:highlight w:val="none"/>
          <w14:textFill>
            <w14:solidFill>
              <w14:schemeClr w14:val="tx1"/>
            </w14:solidFill>
          </w14:textFill>
        </w:rPr>
        <w:t xml:space="preserve">条  </w:t>
      </w:r>
      <w:r>
        <w:rPr>
          <w:rFonts w:hint="eastAsia" w:ascii="宋体" w:hAnsi="宋体" w:cs="宋体"/>
          <w:b/>
          <w:color w:val="000000" w:themeColor="text1"/>
          <w:sz w:val="21"/>
          <w:szCs w:val="21"/>
          <w:highlight w:val="none"/>
          <w:lang w:val="en-US" w:eastAsia="zh-CN"/>
          <w14:textFill>
            <w14:solidFill>
              <w14:schemeClr w14:val="tx1"/>
            </w14:solidFill>
          </w14:textFill>
        </w:rPr>
        <w:t>食材质量</w:t>
      </w:r>
    </w:p>
    <w:p w14:paraId="73B1E99A">
      <w:pPr>
        <w:keepNext w:val="0"/>
        <w:keepLines w:val="0"/>
        <w:pageBreakBefore w:val="0"/>
        <w:wordWrap/>
        <w:overflowPunct/>
        <w:topLinePunct w:val="0"/>
        <w:bidi w:val="0"/>
        <w:spacing w:beforeAutospacing="0" w:afterAutospacing="0" w:line="360" w:lineRule="auto"/>
        <w:ind w:firstLine="420"/>
        <w:rPr>
          <w:rFonts w:hint="eastAsia"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配送的食材必须符合食品国家标准，食品供应链必须明确，禁止供应有毒、有害、腐烂变质、超过保质期限、酸败、霉变、混有异物或其他感官性状异常的食品，具体如下（包括但不限于）：</w:t>
      </w:r>
    </w:p>
    <w:p w14:paraId="177BEA2C">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大米：执行国家GB/T 1354-2018标准。一级等级质量。当年新米，无陈化粮；具有大米固有色泽与香味，无污染、无虫害，色泽、气味、口味正常；无异味、霉味，无虫蛀、结块、挂丝及杂质。杂质≤0.25%、不完善粒≤3.0%、黄米粒≤0.5%、碎米≤15%、水分≤14.5%。颗粒饱满、色泽光洁、无异味、无霉变、无虫蛀。标注生产许可证号、注册商标、执行标准；标明产品名称、净含量、质量等级、生产企业名称、电话、地址、生产日期、保质期及营养成分表。供货剩余保质期不少于标注保质期的三分之二。</w:t>
      </w:r>
    </w:p>
    <w:p w14:paraId="5F098DFA">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面粉：执行标准：小麦粉GB/T 1355-2021（一级及以上）、高筋小麦粉GB/T 8607-2024、精制粉GB/T 1355-2021。一次性包装，符合《粮食销售包装》GB/T 17109-2008，包装袋清洁无污渍、无破损、无渗漏。标注生产许可证号、注册商标、执行标准；标明产品名称、净含量、质量等级、生产企业名称、电话、地址、生产日期、保质期及营养成分表。粉质细腻、无结块、无异味、无杂质、无霉变。水分≤14.0%、灰分≤0.75%（一级）。供货剩余保质期不少于标注保质期的三分之二。</w:t>
      </w:r>
    </w:p>
    <w:p w14:paraId="3AA90D8E">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食用油：执行标准：通用安全GB 2716-2018、大豆油GB/T 1535-2017、菜籽油GB/T 1536-2021。一级压榨，非转基因。具有正常植物油色泽、透明度、气味和滋味，无焦臭、酸败及其他异味。一次性包装，符合 GB 7718-2011、GB 28050-2011，包装桶清洁透明、无污渍、无破损、无渗漏，符合国家食品卫生标准。标注生产许可证号、注册商标、执行标准；标明产品名称、净含量、生产企业名称、电话、地址、生产日期、保质期及营养成分表。清澈透明、无浑浊、无悬浮物、无异味、无沉淀物。溶剂残留未检出，酸价、过氧化值符合国家标准。供货剩余保质期不少于标注保质期的三分之二。</w:t>
      </w:r>
    </w:p>
    <w:p w14:paraId="304952CC">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蔬菜：执行标准GB 2763-2026《食品安全国家标准食品中农药最大残留限量》及国家食品安全相关规定。当日 / 次日采收，无萎蔫、腐烂、压伤、病虫害、黄叶。快速检测合格，按要求提供农残检测报告，不得使用禁用农药。叶菜鲜亮、根茎坚实、瓜果饱满，无空心、霉变、异味。去根、去老叶、去泥，无异物。采用透气保鲜包装，无破损，标识清晰标注品名、产地、采收日期。</w:t>
      </w:r>
    </w:p>
    <w:p w14:paraId="316D26EF">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水果：果形正常、无严重畸形，色泽自然，符合品种成熟特征。无碰压伤、冻伤、裂口、腐烂斑。成熟适中，不生青、不过熟软烂。果蒂 / 果柄新鲜，不干枯、不脱落。果肉紧实、有弹性。无虫蛀、无病斑、无霉点，无药水味、发酵味及其他异味；表面洁净，无明显污物残留。</w:t>
      </w:r>
    </w:p>
    <w:p w14:paraId="2235E6E0">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豆制品：执行标准 GB 2712-2014 国家标准及食品安全相关规定。食材洁净，不含非食用化学物质，加工规范统一，无需二次处理可直接熟制。供货剩余保质期不少于总保质期的三分之二，不提供临期产品。</w:t>
      </w:r>
    </w:p>
    <w:p w14:paraId="4ED24E90">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肉类：产品来自定点屠宰企业，两证两章齐全（动物检疫合格证明、肉品品质检验合格证明、检疫验讫印章、肉品品质检验印章），随货提供检疫合格证明、“瘦肉精” 检测合格证明及肉品品质检验合格证明。执行标准：猪肉符合 GB/T 9959.3-2019、GB 2707-2016、牛肉符合 GB/T 17238-2022、羊肉符合 GB/T 9961-2008、禽肉符合 GB 16869-2005。全程 0–4℃ 冷链配送，产品无解冻、无二次污染。肌肉色泽鲜亮有光泽，脂肪正常，纤维清晰，指压后弹性良好、快速回弹；无注水、无</w:t>
      </w:r>
      <w:r>
        <w:rPr>
          <w:rFonts w:hint="eastAsia" w:ascii="宋体" w:hAnsi="宋体" w:cs="宋体"/>
          <w:color w:val="000000" w:themeColor="text1"/>
          <w:kern w:val="0"/>
          <w:sz w:val="21"/>
          <w:szCs w:val="21"/>
          <w:highlight w:val="none"/>
          <w:lang w:val="en-US" w:eastAsia="zh-CN"/>
          <w14:textFill>
            <w14:solidFill>
              <w14:schemeClr w14:val="tx1"/>
            </w14:solidFill>
          </w14:textFill>
        </w:rPr>
        <w:t>瘀血</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、无异味、无寄生虫。猪肉经排酸处理，分割规范，无淋巴结、无碎骨、无多余刀口，牛、羊肉肉质新鲜，无注水、无异味，如为清真产品，须提供有效清真证明，表皮完整，无淤血、无异味，检验检疫合格。</w:t>
      </w:r>
    </w:p>
    <w:p w14:paraId="0ABEEEC3">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鲜活水产（鱼、虾等）:暂养及运输水温 10–15℃（按品种调整），水质符合 GB 11607-1989 要求，溶解氧≥5mg/L，水体无异味、无浑浊。采用双层防水袋搭配增氧袋或氧气瓶，泡沫箱加固防漏；运输过程避光、防震、控温，不与异味及有毒有害物品混装。活体游动活跃，触须完整，鲜活度合格。</w:t>
      </w:r>
    </w:p>
    <w:p w14:paraId="35402E22">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冷冻水产（冻鱼、冻虾、冻品等）：全程冷链≤-18℃，产品中心温度≤-15℃。真空 / 密封袋 + 保温袋 + 加厚泡沫箱，配冰袋、干冰制冷，长途及高温条件下按每 1kg 货品配 0.3kg 干冰置于顶部。常温 30℃以下环境，72 小时内产品中心温度≤0℃。包装完好，无解冻、无风干、无异味。</w:t>
      </w:r>
    </w:p>
    <w:p w14:paraId="7015D33F">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调料、干货：符合 GB 2760-2024、GB 7718-2011 及相关食品安全标准。预包装食品，SC 编号、生产日期、保质期、配料表等标识齐全。干燥无受潮，无霉变、虫蛀、异味、杂质、结块。无非法添加物，按要求提供检验报告。供货剩余保质期不少于总保质期三分之二，拒收临期产品。</w:t>
      </w:r>
    </w:p>
    <w:p w14:paraId="5F273CB3">
      <w:pPr>
        <w:spacing w:line="360" w:lineRule="auto"/>
        <w:ind w:firstLine="420" w:firstLineChars="200"/>
        <w:rPr>
          <w:rFonts w:ascii="宋体" w:hAnsi="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注：凡涉及国家或行业相关标准的以最新标准为准，所有食材均须符合《中华人民共和国食品安全法》、《食品安全国家标准食品添加剂使用标准》（GB 2760-2024）等相关规定。如国家制定新的食品安全标准，即按新标准执行。</w:t>
      </w:r>
    </w:p>
    <w:p w14:paraId="1A429638">
      <w:pPr>
        <w:keepNext w:val="0"/>
        <w:keepLines w:val="0"/>
        <w:pageBreakBefore w:val="0"/>
        <w:wordWrap/>
        <w:overflowPunct/>
        <w:topLinePunct w:val="0"/>
        <w:bidi w:val="0"/>
        <w:spacing w:beforeAutospacing="0" w:afterAutospacing="0" w:line="360" w:lineRule="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第</w:t>
      </w:r>
      <w:r>
        <w:rPr>
          <w:rFonts w:hint="eastAsia" w:ascii="宋体" w:hAnsi="宋体" w:eastAsia="宋体" w:cs="宋体"/>
          <w:b/>
          <w:color w:val="000000" w:themeColor="text1"/>
          <w:sz w:val="21"/>
          <w:szCs w:val="21"/>
          <w:highlight w:val="none"/>
          <w:lang w:val="en-US" w:eastAsia="zh-CN"/>
          <w14:textFill>
            <w14:solidFill>
              <w14:schemeClr w14:val="tx1"/>
            </w14:solidFill>
          </w14:textFill>
        </w:rPr>
        <w:t>五</w:t>
      </w:r>
      <w:r>
        <w:rPr>
          <w:rFonts w:hint="eastAsia" w:ascii="宋体" w:hAnsi="宋体" w:eastAsia="宋体" w:cs="宋体"/>
          <w:b/>
          <w:color w:val="000000" w:themeColor="text1"/>
          <w:sz w:val="21"/>
          <w:szCs w:val="21"/>
          <w:highlight w:val="none"/>
          <w14:textFill>
            <w14:solidFill>
              <w14:schemeClr w14:val="tx1"/>
            </w14:solidFill>
          </w14:textFill>
        </w:rPr>
        <w:t>条 配送要求</w:t>
      </w:r>
    </w:p>
    <w:p w14:paraId="4E8F5532">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1、乙方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必须将所报项目的服务人员在</w:t>
      </w:r>
      <w:r>
        <w:rPr>
          <w:rFonts w:hint="eastAsia" w:ascii="宋体" w:hAnsi="宋体" w:cs="宋体"/>
          <w:color w:val="000000" w:themeColor="text1"/>
          <w:kern w:val="0"/>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相关科室备案，保证</w:t>
      </w:r>
      <w:r>
        <w:rPr>
          <w:rFonts w:hint="eastAsia" w:ascii="宋体" w:hAnsi="宋体" w:cs="宋体"/>
          <w:color w:val="000000" w:themeColor="text1"/>
          <w:kern w:val="0"/>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在有供货需求时能顺利联系到服务人员。</w:t>
      </w:r>
    </w:p>
    <w:p w14:paraId="220CB1D8">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2、乙方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必须按照</w:t>
      </w:r>
      <w:r>
        <w:rPr>
          <w:rFonts w:hint="eastAsia" w:ascii="宋体" w:hAnsi="宋体" w:cs="宋体"/>
          <w:color w:val="000000" w:themeColor="text1"/>
          <w:kern w:val="0"/>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要求的品种、数量、规格、质量准时提供配送服务，满足使用需求，所有食材采购均以</w:t>
      </w:r>
      <w:r>
        <w:rPr>
          <w:rFonts w:hint="eastAsia" w:ascii="宋体" w:hAnsi="宋体" w:cs="宋体"/>
          <w:color w:val="000000" w:themeColor="text1"/>
          <w:kern w:val="0"/>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书面（传真或邮件）单据为准，不得私自更换配送食品的种类，</w:t>
      </w:r>
      <w:r>
        <w:rPr>
          <w:rFonts w:hint="eastAsia" w:ascii="宋体" w:hAnsi="宋体" w:cs="宋体"/>
          <w:color w:val="000000" w:themeColor="text1"/>
          <w:kern w:val="0"/>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有权根据实际需求量随时调整采购计划及供货时间段。特殊情况下的甲方需增添的小批量的急用物资，乙方应予以全力协助解决。</w:t>
      </w:r>
    </w:p>
    <w:p w14:paraId="14E5CAA4">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3、乙方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须保证所供原材料均为符合国家卫生、质量检验标准的正规产品，保证配送品种完全满足</w:t>
      </w:r>
      <w:r>
        <w:rPr>
          <w:rFonts w:hint="eastAsia" w:ascii="宋体" w:hAnsi="宋体" w:cs="宋体"/>
          <w:color w:val="000000" w:themeColor="text1"/>
          <w:kern w:val="0"/>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要求，所有原材料每日均留存样品一份，保存时间为36小时，确认期间无任何食品安全问题后丢弃。</w:t>
      </w:r>
    </w:p>
    <w:p w14:paraId="06927611">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4、</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如有某些食材出现市场断档，应及时告知</w:t>
      </w:r>
      <w:r>
        <w:rPr>
          <w:rFonts w:hint="eastAsia" w:ascii="宋体" w:hAnsi="宋体" w:cs="宋体"/>
          <w:color w:val="000000" w:themeColor="text1"/>
          <w:kern w:val="0"/>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，以便</w:t>
      </w:r>
      <w:r>
        <w:rPr>
          <w:rFonts w:hint="eastAsia" w:ascii="宋体" w:hAnsi="宋体" w:cs="宋体"/>
          <w:color w:val="000000" w:themeColor="text1"/>
          <w:kern w:val="0"/>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做出必要调整。</w:t>
      </w:r>
    </w:p>
    <w:p w14:paraId="28FF1A9E">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5、</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如遇</w:t>
      </w:r>
      <w:r>
        <w:rPr>
          <w:rFonts w:hint="eastAsia" w:ascii="宋体" w:hAnsi="宋体" w:cs="宋体"/>
          <w:color w:val="000000" w:themeColor="text1"/>
          <w:kern w:val="0"/>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所属单位出现紧急任务或加班备勤等突发状况时，</w:t>
      </w:r>
      <w:r>
        <w:rPr>
          <w:rFonts w:hint="eastAsia" w:ascii="宋体" w:hAnsi="宋体" w:cs="宋体"/>
          <w:color w:val="000000" w:themeColor="text1"/>
          <w:kern w:val="0"/>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须无条件配合并在第一时间内将临时附加的食材配送到位。</w:t>
      </w:r>
    </w:p>
    <w:p w14:paraId="52399E21">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6、</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所有食材按约定时间送达，迟到率≤1%，不合格品1小时内换货，紧急补货≤2小时。</w:t>
      </w:r>
    </w:p>
    <w:p w14:paraId="46F7C7A7">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7、</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根据</w:t>
      </w:r>
      <w:r>
        <w:rPr>
          <w:rFonts w:hint="eastAsia" w:ascii="宋体" w:hAnsi="宋体" w:cs="宋体"/>
          <w:color w:val="000000" w:themeColor="text1"/>
          <w:kern w:val="0"/>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要求进行必要的货源组织，提供种类明细与价格。确保原材料新鲜、安全、及时的各类措施或组织管理办法。原材料</w:t>
      </w:r>
      <w:r>
        <w:rPr>
          <w:rFonts w:hint="eastAsia" w:ascii="宋体" w:hAnsi="宋体" w:cs="宋体"/>
          <w:color w:val="000000" w:themeColor="text1"/>
          <w:kern w:val="0"/>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对于自身原材料生产、外部原材料的采购、销售，其合格标准与检验标准。原材料</w:t>
      </w:r>
      <w:r>
        <w:rPr>
          <w:rFonts w:hint="eastAsia" w:ascii="宋体" w:hAnsi="宋体" w:cs="宋体"/>
          <w:color w:val="000000" w:themeColor="text1"/>
          <w:kern w:val="0"/>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对于可能的违约责任或食品安全责任的责任承担说明。</w:t>
      </w:r>
    </w:p>
    <w:p w14:paraId="743E7788">
      <w:pPr>
        <w:keepNext w:val="0"/>
        <w:keepLines w:val="0"/>
        <w:pageBreakBefore w:val="0"/>
        <w:wordWrap/>
        <w:overflowPunct/>
        <w:topLinePunct w:val="0"/>
        <w:bidi w:val="0"/>
        <w:spacing w:beforeAutospacing="0" w:afterAutospacing="0" w:line="360" w:lineRule="auto"/>
        <w:rPr>
          <w:rFonts w:ascii="宋体" w:hAns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第</w:t>
      </w:r>
      <w:r>
        <w:rPr>
          <w:rFonts w:hint="eastAsia" w:ascii="宋体" w:hAnsi="宋体" w:cs="宋体"/>
          <w:b/>
          <w:color w:val="000000" w:themeColor="text1"/>
          <w:sz w:val="21"/>
          <w:szCs w:val="21"/>
          <w:highlight w:val="none"/>
          <w:lang w:val="en-US" w:eastAsia="zh-CN"/>
          <w14:textFill>
            <w14:solidFill>
              <w14:schemeClr w14:val="tx1"/>
            </w14:solidFill>
          </w14:textFill>
        </w:rPr>
        <w:t>六</w:t>
      </w:r>
      <w:r>
        <w:rPr>
          <w:rFonts w:hint="eastAsia" w:ascii="宋体" w:hAnsi="宋体" w:cs="宋体"/>
          <w:b/>
          <w:color w:val="000000" w:themeColor="text1"/>
          <w:sz w:val="21"/>
          <w:szCs w:val="21"/>
          <w:highlight w:val="none"/>
          <w14:textFill>
            <w14:solidFill>
              <w14:schemeClr w14:val="tx1"/>
            </w14:solidFill>
          </w14:textFill>
        </w:rPr>
        <w:t>条  知识产权</w:t>
      </w:r>
    </w:p>
    <w:p w14:paraId="6A836284">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1、乙方保证对其出售的货物享有合法的权利</w:t>
      </w:r>
      <w:r>
        <w:rPr>
          <w:rFonts w:hint="eastAsia" w:ascii="宋体" w:hAnsi="宋体" w:eastAsia="宋体" w:cs="宋体"/>
          <w:color w:val="000000" w:themeColor="text1"/>
          <w:sz w:val="21"/>
          <w:szCs w:val="21"/>
          <w:highlight w:val="none"/>
          <w:lang w:val="en-US" w:eastAsia="zh-CN"/>
          <w14:textFill>
            <w14:solidFill>
              <w14:schemeClr w14:val="tx1"/>
            </w14:solidFill>
          </w14:textFill>
        </w:rPr>
        <w:t>且</w:t>
      </w:r>
      <w:r>
        <w:rPr>
          <w:rFonts w:hint="eastAsia" w:ascii="宋体" w:hAnsi="宋体" w:eastAsia="宋体" w:cs="宋体"/>
          <w:color w:val="000000" w:themeColor="text1"/>
          <w:sz w:val="21"/>
          <w:szCs w:val="21"/>
          <w:highlight w:val="none"/>
          <w14:textFill>
            <w14:solidFill>
              <w14:schemeClr w14:val="tx1"/>
            </w14:solidFill>
          </w14:textFill>
        </w:rPr>
        <w:t>不会侵犯任何第三方的专利权、版权、商标权或其他权利。</w:t>
      </w:r>
    </w:p>
    <w:p w14:paraId="5E56EEBC">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2、乙方保证对其出售的货物上不存在任何未曾向甲方透露的担保物权，如抵押权、质押权、留置权。</w:t>
      </w:r>
    </w:p>
    <w:p w14:paraId="2963A9AF">
      <w:pPr>
        <w:keepNext w:val="0"/>
        <w:keepLines w:val="0"/>
        <w:pageBreakBefore w:val="0"/>
        <w:wordWrap/>
        <w:overflowPunct/>
        <w:topLinePunct w:val="0"/>
        <w:bidi w:val="0"/>
        <w:spacing w:beforeAutospacing="0" w:afterAutospacing="0" w:line="360" w:lineRule="auto"/>
        <w:ind w:firstLine="420"/>
        <w:rPr>
          <w:rFonts w:hint="eastAsia" w:ascii="宋体" w:hAnsi="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、如甲方在使用该货物构成上述侵权的，如出现侵犯第三方专利权、版权、商标权或其他权利，乙方承担全部责任</w:t>
      </w:r>
      <w:r>
        <w:rPr>
          <w:rFonts w:hint="eastAsia" w:ascii="宋体" w:hAnsi="宋体" w:eastAsia="宋体" w:cs="宋体"/>
          <w:color w:val="000000" w:themeColor="text1"/>
          <w:sz w:val="21"/>
          <w:szCs w:val="21"/>
          <w:highlight w:val="none"/>
          <w:lang w:val="en-US" w:eastAsia="zh-CN"/>
          <w14:textFill>
            <w14:solidFill>
              <w14:schemeClr w14:val="tx1"/>
            </w14:solidFill>
          </w14:textFill>
        </w:rPr>
        <w:t>和</w:t>
      </w:r>
      <w:r>
        <w:rPr>
          <w:rFonts w:hint="eastAsia" w:ascii="宋体" w:hAnsi="宋体" w:eastAsia="宋体" w:cs="宋体"/>
          <w:color w:val="000000" w:themeColor="text1"/>
          <w:sz w:val="21"/>
          <w:szCs w:val="21"/>
          <w:highlight w:val="none"/>
          <w14:textFill>
            <w14:solidFill>
              <w14:schemeClr w14:val="tx1"/>
            </w14:solidFill>
          </w14:textFill>
        </w:rPr>
        <w:t>由此造成的一切损失，包括但不限于第三方权益补偿、甲方经济利益的减损、甲方为证实乙方之违约行为所支出的各项调查取证、公证费用，甲方为寻求救济而支付的诉讼费用、律师费用等。</w:t>
      </w:r>
    </w:p>
    <w:p w14:paraId="4B4CE40B">
      <w:pPr>
        <w:keepNext w:val="0"/>
        <w:keepLines w:val="0"/>
        <w:pageBreakBefore w:val="0"/>
        <w:wordWrap/>
        <w:overflowPunct/>
        <w:topLinePunct w:val="0"/>
        <w:bidi w:val="0"/>
        <w:spacing w:beforeAutospacing="0" w:afterAutospacing="0" w:line="300" w:lineRule="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第</w:t>
      </w:r>
      <w:r>
        <w:rPr>
          <w:rFonts w:hint="eastAsia" w:ascii="宋体" w:hAnsi="宋体" w:cs="宋体"/>
          <w:b/>
          <w:color w:val="000000" w:themeColor="text1"/>
          <w:sz w:val="21"/>
          <w:szCs w:val="21"/>
          <w:highlight w:val="none"/>
          <w:lang w:val="en-US" w:eastAsia="zh-CN"/>
          <w14:textFill>
            <w14:solidFill>
              <w14:schemeClr w14:val="tx1"/>
            </w14:solidFill>
          </w14:textFill>
        </w:rPr>
        <w:t>七</w:t>
      </w:r>
      <w:r>
        <w:rPr>
          <w:rFonts w:hint="eastAsia" w:ascii="宋体" w:hAnsi="宋体" w:eastAsia="宋体" w:cs="宋体"/>
          <w:b/>
          <w:color w:val="000000" w:themeColor="text1"/>
          <w:sz w:val="21"/>
          <w:szCs w:val="21"/>
          <w:highlight w:val="none"/>
          <w14:textFill>
            <w14:solidFill>
              <w14:schemeClr w14:val="tx1"/>
            </w14:solidFill>
          </w14:textFill>
        </w:rPr>
        <w:t>条  甲方的权利和义务</w:t>
      </w:r>
    </w:p>
    <w:p w14:paraId="50B8270B">
      <w:pPr>
        <w:keepNext w:val="0"/>
        <w:keepLines w:val="0"/>
        <w:pageBreakBefore w:val="0"/>
        <w:wordWrap/>
        <w:overflowPunct/>
        <w:topLinePunct w:val="0"/>
        <w:bidi w:val="0"/>
        <w:spacing w:beforeAutospacing="0" w:afterAutospacing="0" w:line="300" w:lineRule="auto"/>
        <w:ind w:firstLine="420"/>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1、甲方对合同规定服务范围和内容拥有监管</w:t>
      </w:r>
      <w:r>
        <w:rPr>
          <w:rFonts w:hint="eastAsia" w:ascii="宋体" w:hAnsi="宋体" w:eastAsia="宋体" w:cs="宋体"/>
          <w:color w:val="000000" w:themeColor="text1"/>
          <w:sz w:val="21"/>
          <w:szCs w:val="21"/>
          <w:highlight w:val="none"/>
          <w:lang w:val="en-US" w:eastAsia="zh-CN"/>
          <w14:textFill>
            <w14:solidFill>
              <w14:schemeClr w14:val="tx1"/>
            </w14:solidFill>
          </w14:textFill>
        </w:rPr>
        <w:t>并</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有权阐述对具体问题的意见和建议</w:t>
      </w:r>
      <w:r>
        <w:rPr>
          <w:rFonts w:hint="eastAsia" w:ascii="宋体" w:hAnsi="宋体" w:eastAsia="宋体" w:cs="宋体"/>
          <w:color w:val="000000" w:themeColor="text1"/>
          <w:sz w:val="21"/>
          <w:szCs w:val="21"/>
          <w:highlight w:val="none"/>
          <w14:textFill>
            <w14:solidFill>
              <w14:schemeClr w14:val="tx1"/>
            </w14:solidFill>
          </w14:textFill>
        </w:rPr>
        <w:t>权，</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有权向乙方询问工作进展情况及相关的内容；</w:t>
      </w:r>
    </w:p>
    <w:p w14:paraId="7E8813E9">
      <w:pPr>
        <w:keepNext w:val="0"/>
        <w:keepLines w:val="0"/>
        <w:pageBreakBefore w:val="0"/>
        <w:wordWrap/>
        <w:overflowPunct/>
        <w:topLinePunct w:val="0"/>
        <w:bidi w:val="0"/>
        <w:spacing w:beforeAutospacing="0" w:afterAutospacing="0" w:line="300" w:lineRule="auto"/>
        <w:ind w:firstLine="420"/>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甲方</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有权</w:t>
      </w:r>
      <w:r>
        <w:rPr>
          <w:rFonts w:hint="eastAsia" w:ascii="宋体" w:hAnsi="宋体" w:eastAsia="宋体" w:cs="宋体"/>
          <w:color w:val="000000" w:themeColor="text1"/>
          <w:sz w:val="21"/>
          <w:szCs w:val="21"/>
          <w:highlight w:val="none"/>
          <w14:textFill>
            <w14:solidFill>
              <w14:schemeClr w14:val="tx1"/>
            </w14:solidFill>
          </w14:textFill>
        </w:rPr>
        <w:t>对认为不合理的部分有权下达整改通知书，并要求乙方限期整改；</w:t>
      </w:r>
    </w:p>
    <w:p w14:paraId="6520FD8F">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3</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、甲方有权根据项目的具体情况，要求乙方按期到项目现场协调解决问题；</w:t>
      </w:r>
    </w:p>
    <w:p w14:paraId="46944798">
      <w:pPr>
        <w:pStyle w:val="4"/>
        <w:keepNext w:val="0"/>
        <w:keepLines w:val="0"/>
        <w:pageBreakBefore w:val="0"/>
        <w:shd w:val="clear" w:color="auto" w:fill="FFFFFF"/>
        <w:wordWrap/>
        <w:overflowPunct/>
        <w:topLinePunct w:val="0"/>
        <w:bidi w:val="0"/>
        <w:spacing w:before="0" w:beforeAutospacing="0" w:after="0" w:afterAutospacing="0" w:line="30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、根据本合同规定，按时向乙方支付应付服务费用。</w:t>
      </w:r>
    </w:p>
    <w:p w14:paraId="48755499">
      <w:pPr>
        <w:pStyle w:val="4"/>
        <w:keepNext w:val="0"/>
        <w:keepLines w:val="0"/>
        <w:pageBreakBefore w:val="0"/>
        <w:shd w:val="clear" w:color="auto" w:fill="FFFFFF"/>
        <w:wordWrap/>
        <w:overflowPunct/>
        <w:topLinePunct w:val="0"/>
        <w:bidi w:val="0"/>
        <w:spacing w:before="0" w:beforeAutospacing="0" w:after="0" w:afterAutospacing="0" w:line="30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、国家</w:t>
      </w:r>
      <w:r>
        <w:rPr>
          <w:rFonts w:hint="eastAsia" w:ascii="宋体" w:hAnsi="宋体" w:eastAsia="宋体" w:cs="宋体"/>
          <w:color w:val="000000" w:themeColor="text1"/>
          <w:sz w:val="21"/>
          <w:szCs w:val="21"/>
          <w:highlight w:val="none"/>
          <w:lang w:eastAsia="zh-CN"/>
          <w14:textFill>
            <w14:solidFill>
              <w14:schemeClr w14:val="tx1"/>
            </w14:solidFill>
          </w14:textFill>
        </w:rPr>
        <w:t>法律法规</w:t>
      </w:r>
      <w:r>
        <w:rPr>
          <w:rFonts w:hint="eastAsia" w:ascii="宋体" w:hAnsi="宋体" w:eastAsia="宋体" w:cs="宋体"/>
          <w:color w:val="000000" w:themeColor="text1"/>
          <w:sz w:val="21"/>
          <w:szCs w:val="21"/>
          <w:highlight w:val="none"/>
          <w14:textFill>
            <w14:solidFill>
              <w14:schemeClr w14:val="tx1"/>
            </w14:solidFill>
          </w14:textFill>
        </w:rPr>
        <w:t>所规定由甲方承担的</w:t>
      </w:r>
      <w:r>
        <w:rPr>
          <w:rFonts w:hint="eastAsia" w:ascii="宋体" w:hAnsi="宋体" w:eastAsia="宋体" w:cs="宋体"/>
          <w:color w:val="000000" w:themeColor="text1"/>
          <w:sz w:val="21"/>
          <w:szCs w:val="21"/>
          <w:highlight w:val="none"/>
          <w:lang w:eastAsia="zh-CN"/>
          <w14:textFill>
            <w14:solidFill>
              <w14:schemeClr w14:val="tx1"/>
            </w14:solidFill>
          </w14:textFill>
        </w:rPr>
        <w:t>其他</w:t>
      </w:r>
      <w:r>
        <w:rPr>
          <w:rFonts w:hint="eastAsia" w:ascii="宋体" w:hAnsi="宋体" w:eastAsia="宋体" w:cs="宋体"/>
          <w:color w:val="000000" w:themeColor="text1"/>
          <w:sz w:val="21"/>
          <w:szCs w:val="21"/>
          <w:highlight w:val="none"/>
          <w14:textFill>
            <w14:solidFill>
              <w14:schemeClr w14:val="tx1"/>
            </w14:solidFill>
          </w14:textFill>
        </w:rPr>
        <w:t>责任。</w:t>
      </w:r>
    </w:p>
    <w:p w14:paraId="0D2839C6">
      <w:pPr>
        <w:keepNext w:val="0"/>
        <w:keepLines w:val="0"/>
        <w:pageBreakBefore w:val="0"/>
        <w:wordWrap/>
        <w:overflowPunct/>
        <w:topLinePunct w:val="0"/>
        <w:bidi w:val="0"/>
        <w:spacing w:beforeAutospacing="0" w:afterAutospacing="0" w:line="300" w:lineRule="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第</w:t>
      </w:r>
      <w:r>
        <w:rPr>
          <w:rFonts w:hint="eastAsia" w:ascii="宋体" w:hAnsi="宋体" w:cs="宋体"/>
          <w:b/>
          <w:color w:val="000000" w:themeColor="text1"/>
          <w:sz w:val="21"/>
          <w:szCs w:val="21"/>
          <w:highlight w:val="none"/>
          <w:lang w:val="en-US" w:eastAsia="zh-CN"/>
          <w14:textFill>
            <w14:solidFill>
              <w14:schemeClr w14:val="tx1"/>
            </w14:solidFill>
          </w14:textFill>
        </w:rPr>
        <w:t>八</w:t>
      </w:r>
      <w:r>
        <w:rPr>
          <w:rFonts w:hint="eastAsia" w:ascii="宋体" w:hAnsi="宋体" w:eastAsia="宋体" w:cs="宋体"/>
          <w:b/>
          <w:color w:val="000000" w:themeColor="text1"/>
          <w:sz w:val="21"/>
          <w:szCs w:val="21"/>
          <w:highlight w:val="none"/>
          <w14:textFill>
            <w14:solidFill>
              <w14:schemeClr w14:val="tx1"/>
            </w14:solidFill>
          </w14:textFill>
        </w:rPr>
        <w:t>条  乙方的权利和义务</w:t>
      </w:r>
    </w:p>
    <w:p w14:paraId="602F55EE">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1、</w:t>
      </w: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乙方</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按要求</w:t>
      </w: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提供合格食材及配送服务，乙方</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人员</w:t>
      </w: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在</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任务执行</w:t>
      </w: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过程中</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遵守甲方制定的各项规章制度。</w:t>
      </w:r>
    </w:p>
    <w:p w14:paraId="1D882B53">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2</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、乙方定期征求甲方的意见，以便及时沟通并做好服务工作。</w:t>
      </w:r>
    </w:p>
    <w:p w14:paraId="7263F0A6">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val="en-US" w:eastAsia="zh-CN"/>
          <w14:textFill>
            <w14:solidFill>
              <w14:schemeClr w14:val="tx1"/>
            </w14:solidFill>
          </w14:textFill>
        </w:rPr>
        <w:t>3</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、乙方人员因工作失职或疏忽直接造成损失，由乙方处理并承担相关责任。</w:t>
      </w:r>
    </w:p>
    <w:p w14:paraId="4FBCA227">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4</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、乙方不得以任何借口拖延</w:t>
      </w: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食材的采购、检测、配送、验收</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等相关服务</w:t>
      </w:r>
      <w:r>
        <w:rPr>
          <w:rFonts w:hint="eastAsia" w:ascii="宋体" w:hAnsi="宋体" w:cs="宋体"/>
          <w:color w:val="000000" w:themeColor="text1"/>
          <w:sz w:val="21"/>
          <w:szCs w:val="21"/>
          <w:highlight w:val="none"/>
          <w:shd w:val="clear" w:color="auto" w:fill="FFFFFF"/>
          <w:lang w:eastAsia="zh-CN"/>
          <w14:textFill>
            <w14:solidFill>
              <w14:schemeClr w14:val="tx1"/>
            </w14:solidFill>
          </w14:textFill>
        </w:rPr>
        <w:t>。</w:t>
      </w:r>
    </w:p>
    <w:p w14:paraId="2F404A6F">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5</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、及时向甲方通告本项目服务范围内有关的重大事项</w:t>
      </w: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并</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及时配合处理</w:t>
      </w: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相关内容</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w:t>
      </w:r>
    </w:p>
    <w:p w14:paraId="43A76718">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6</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、根据本合同的规定向甲方收取相关服务费用。</w:t>
      </w:r>
    </w:p>
    <w:p w14:paraId="7E58EA26">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7</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、接受项目行业管理部门及政府有关部门的指导，接受甲方的监督。</w:t>
      </w:r>
    </w:p>
    <w:p w14:paraId="42C4875B">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8</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、国家</w:t>
      </w:r>
      <w:r>
        <w:rPr>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法律法规</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所规定由乙方承担的</w:t>
      </w:r>
      <w:r>
        <w:rPr>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其他</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责任。</w:t>
      </w:r>
    </w:p>
    <w:p w14:paraId="7719D91E">
      <w:pPr>
        <w:keepNext w:val="0"/>
        <w:keepLines w:val="0"/>
        <w:pageBreakBefore w:val="0"/>
        <w:widowControl w:val="0"/>
        <w:kinsoku/>
        <w:wordWrap/>
        <w:overflowPunct/>
        <w:topLinePunct w:val="0"/>
        <w:autoSpaceDE/>
        <w:autoSpaceDN/>
        <w:bidi w:val="0"/>
        <w:spacing w:beforeAutospacing="0" w:afterAutospacing="0" w:line="300" w:lineRule="auto"/>
        <w:textAlignment w:val="auto"/>
        <w:rPr>
          <w:rFonts w:hint="eastAsia" w:ascii="宋体" w:hAnsi="宋体" w:eastAsia="宋体" w:cs="宋体"/>
          <w:b/>
          <w:bCs/>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b/>
          <w:bCs/>
          <w:color w:val="000000" w:themeColor="text1"/>
          <w:sz w:val="21"/>
          <w:szCs w:val="21"/>
          <w:highlight w:val="none"/>
          <w:shd w:val="clear" w:color="auto" w:fill="FFFFFF"/>
          <w14:textFill>
            <w14:solidFill>
              <w14:schemeClr w14:val="tx1"/>
            </w14:solidFill>
          </w14:textFill>
        </w:rPr>
        <w:t>第</w:t>
      </w:r>
      <w:r>
        <w:rPr>
          <w:rFonts w:hint="eastAsia" w:ascii="宋体" w:hAnsi="宋体" w:cs="宋体"/>
          <w:b/>
          <w:bCs/>
          <w:color w:val="000000" w:themeColor="text1"/>
          <w:sz w:val="21"/>
          <w:szCs w:val="21"/>
          <w:highlight w:val="none"/>
          <w:shd w:val="clear" w:color="auto" w:fill="FFFFFF"/>
          <w:lang w:val="en-US" w:eastAsia="zh-CN"/>
          <w14:textFill>
            <w14:solidFill>
              <w14:schemeClr w14:val="tx1"/>
            </w14:solidFill>
          </w14:textFill>
        </w:rPr>
        <w:t>九</w:t>
      </w:r>
      <w:r>
        <w:rPr>
          <w:rFonts w:hint="eastAsia" w:ascii="宋体" w:hAnsi="宋体" w:eastAsia="宋体" w:cs="宋体"/>
          <w:b/>
          <w:bCs/>
          <w:color w:val="000000" w:themeColor="text1"/>
          <w:sz w:val="21"/>
          <w:szCs w:val="21"/>
          <w:highlight w:val="none"/>
          <w:shd w:val="clear" w:color="auto" w:fill="FFFFFF"/>
          <w14:textFill>
            <w14:solidFill>
              <w14:schemeClr w14:val="tx1"/>
            </w14:solidFill>
          </w14:textFill>
        </w:rPr>
        <w:t>条 考核（验收）标准和方法</w:t>
      </w:r>
    </w:p>
    <w:p w14:paraId="741E723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现行的国家标准或国家行政部门颁布的法律法规、规章制度等，是验收的重要依据，</w:t>
      </w:r>
      <w:r>
        <w:rPr>
          <w:rFonts w:hint="eastAsia" w:ascii="宋体" w:hAnsi="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z w:val="21"/>
          <w:szCs w:val="21"/>
          <w:highlight w:val="none"/>
          <w14:textFill>
            <w14:solidFill>
              <w14:schemeClr w14:val="tx1"/>
            </w14:solidFill>
          </w14:textFill>
        </w:rPr>
        <w:t>根据有关规范、规定及项目要求对</w:t>
      </w:r>
      <w:r>
        <w:rPr>
          <w:rFonts w:hint="eastAsia" w:ascii="宋体" w:hAnsi="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z w:val="21"/>
          <w:szCs w:val="21"/>
          <w:highlight w:val="none"/>
          <w14:textFill>
            <w14:solidFill>
              <w14:schemeClr w14:val="tx1"/>
            </w14:solidFill>
          </w14:textFill>
        </w:rPr>
        <w:t>进行检查或考核，</w:t>
      </w:r>
      <w:r>
        <w:rPr>
          <w:rFonts w:hint="eastAsia" w:ascii="宋体" w:hAnsi="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z w:val="21"/>
          <w:szCs w:val="21"/>
          <w:highlight w:val="none"/>
          <w14:textFill>
            <w14:solidFill>
              <w14:schemeClr w14:val="tx1"/>
            </w14:solidFill>
          </w14:textFill>
        </w:rPr>
        <w:t>须接受</w:t>
      </w:r>
      <w:r>
        <w:rPr>
          <w:rFonts w:hint="eastAsia" w:ascii="宋体" w:hAnsi="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z w:val="21"/>
          <w:szCs w:val="21"/>
          <w:highlight w:val="none"/>
          <w14:textFill>
            <w14:solidFill>
              <w14:schemeClr w14:val="tx1"/>
            </w14:solidFill>
          </w14:textFill>
        </w:rPr>
        <w:t>对相关服务的各类考核或检查；若服务结果验收不通过或质量不符合采购要求，</w:t>
      </w:r>
      <w:r>
        <w:rPr>
          <w:rFonts w:hint="eastAsia" w:ascii="宋体" w:hAnsi="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z w:val="21"/>
          <w:szCs w:val="21"/>
          <w:highlight w:val="none"/>
          <w14:textFill>
            <w14:solidFill>
              <w14:schemeClr w14:val="tx1"/>
            </w14:solidFill>
          </w14:textFill>
        </w:rPr>
        <w:t>应在一定期限内以</w:t>
      </w:r>
      <w:r>
        <w:rPr>
          <w:rFonts w:hint="eastAsia" w:ascii="宋体" w:hAnsi="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z w:val="21"/>
          <w:szCs w:val="21"/>
          <w:highlight w:val="none"/>
          <w14:textFill>
            <w14:solidFill>
              <w14:schemeClr w14:val="tx1"/>
            </w14:solidFill>
          </w14:textFill>
        </w:rPr>
        <w:t>要求的标准进行整改或完善，并再次进行考核或检查，若</w:t>
      </w:r>
      <w:r>
        <w:rPr>
          <w:rFonts w:hint="eastAsia" w:ascii="宋体" w:hAnsi="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z w:val="21"/>
          <w:szCs w:val="21"/>
          <w:highlight w:val="none"/>
          <w14:textFill>
            <w14:solidFill>
              <w14:schemeClr w14:val="tx1"/>
            </w14:solidFill>
          </w14:textFill>
        </w:rPr>
        <w:t>在接受检查整改后最终仍未按要求提供符合要求的服务，</w:t>
      </w:r>
      <w:r>
        <w:rPr>
          <w:rFonts w:hint="eastAsia" w:ascii="宋体" w:hAnsi="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z w:val="21"/>
          <w:szCs w:val="21"/>
          <w:highlight w:val="none"/>
          <w14:textFill>
            <w14:solidFill>
              <w14:schemeClr w14:val="tx1"/>
            </w14:solidFill>
          </w14:textFill>
        </w:rPr>
        <w:t>有权按违约予以撤项，由此产生的一切责任和费用均由</w:t>
      </w:r>
      <w:r>
        <w:rPr>
          <w:rFonts w:hint="eastAsia" w:ascii="宋体" w:hAnsi="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z w:val="21"/>
          <w:szCs w:val="21"/>
          <w:highlight w:val="none"/>
          <w14:textFill>
            <w14:solidFill>
              <w14:schemeClr w14:val="tx1"/>
            </w14:solidFill>
          </w14:textFill>
        </w:rPr>
        <w:t>承担。</w:t>
      </w:r>
    </w:p>
    <w:p w14:paraId="2717426B">
      <w:pPr>
        <w:spacing w:line="360" w:lineRule="auto"/>
        <w:ind w:firstLine="420" w:firstLineChars="200"/>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w:t>
      </w: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t>所有食材必须符合食品国家标准，食品供应链必须明确，禁止供应有毒、有害、腐烂变质、超过保质期限、酸败、霉变、混有异物或其他感官性状异常的食品，必须符合</w:t>
      </w:r>
      <w:r>
        <w:rPr>
          <w:rFonts w:hint="eastAsia" w:ascii="宋体" w:hAnsi="宋体" w:cs="宋体"/>
          <w:b w:val="0"/>
          <w:bCs w:val="0"/>
          <w:color w:val="000000" w:themeColor="text1"/>
          <w:sz w:val="21"/>
          <w:szCs w:val="21"/>
          <w:highlight w:val="none"/>
          <w:lang w:val="en-US" w:eastAsia="zh-CN"/>
          <w14:textFill>
            <w14:solidFill>
              <w14:schemeClr w14:val="tx1"/>
            </w14:solidFill>
          </w14:textFill>
        </w:rPr>
        <w:t>食材质量要求中所有内容</w:t>
      </w:r>
      <w:r>
        <w:rPr>
          <w:rFonts w:hint="eastAsia" w:ascii="宋体" w:hAnsi="宋体" w:eastAsia="宋体" w:cs="宋体"/>
          <w:b w:val="0"/>
          <w:bCs w:val="0"/>
          <w:color w:val="000000" w:themeColor="text1"/>
          <w:kern w:val="0"/>
          <w:sz w:val="21"/>
          <w:szCs w:val="21"/>
          <w:highlight w:val="none"/>
          <w:lang w:val="en-US" w:eastAsia="zh-CN"/>
          <w14:textFill>
            <w14:solidFill>
              <w14:schemeClr w14:val="tx1"/>
            </w14:solidFill>
          </w14:textFill>
        </w:rPr>
        <w:t>。</w:t>
      </w:r>
    </w:p>
    <w:p w14:paraId="195BFE4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w:t>
      </w:r>
      <w:r>
        <w:rPr>
          <w:rFonts w:hint="eastAsia" w:ascii="宋体" w:hAnsi="宋体" w:cs="宋体"/>
          <w:color w:val="000000" w:themeColor="text1"/>
          <w:kern w:val="0"/>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将产品配送到达指定地点，将货物清单送至</w:t>
      </w:r>
      <w:r>
        <w:rPr>
          <w:rFonts w:hint="eastAsia" w:ascii="宋体" w:hAnsi="宋体" w:cs="宋体"/>
          <w:color w:val="000000" w:themeColor="text1"/>
          <w:kern w:val="0"/>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原材料验收由双方现场检验，对供应产品的质量无异议数量准确无误后，双方填写验收单并签字，各自留存，不合格货品当场拒收并记录。对于验收不合格的产品，供货商应及时进行统计补货，为此造成的损失及费用由</w:t>
      </w:r>
      <w:r>
        <w:rPr>
          <w:rFonts w:hint="eastAsia" w:ascii="宋体" w:hAnsi="宋体" w:cs="宋体"/>
          <w:color w:val="000000" w:themeColor="text1"/>
          <w:kern w:val="0"/>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负责。</w:t>
      </w:r>
      <w:r>
        <w:rPr>
          <w:rFonts w:hint="eastAsia" w:ascii="宋体" w:hAnsi="宋体" w:cs="宋体"/>
          <w:color w:val="000000" w:themeColor="text1"/>
          <w:kern w:val="0"/>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在接到食材质量问题反馈后1小时内响应，若问题食材需退换，应在2小时内完成换货补货送达，确保不影响正常使用。面对突发食材需求或供应中断，</w:t>
      </w:r>
      <w:r>
        <w:rPr>
          <w:rFonts w:hint="eastAsia" w:ascii="宋体" w:hAnsi="宋体" w:cs="宋体"/>
          <w:color w:val="000000" w:themeColor="text1"/>
          <w:kern w:val="0"/>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需在1小时内启动紧急预案，2小时内完成紧急配送，确保采购单位正常运营不受影响。</w:t>
      </w:r>
    </w:p>
    <w:p w14:paraId="6EBE09A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（3）一旦发生食物中毒或疑似食物中毒事故，应及时提供留样样品，配合卫生监督机构进行调查处理工作，不得有留样样品而不提供或提供不真实的留样样品,影响或干扰事故的调查处理工作。若因</w:t>
      </w:r>
      <w:r>
        <w:rPr>
          <w:rFonts w:hint="eastAsia" w:ascii="宋体" w:hAnsi="宋体" w:cs="宋体"/>
          <w:color w:val="000000" w:themeColor="text1"/>
          <w:kern w:val="0"/>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原因造成的食物中毒事故，</w:t>
      </w:r>
      <w:r>
        <w:rPr>
          <w:rFonts w:hint="eastAsia" w:ascii="宋体" w:hAnsi="宋体" w:cs="宋体"/>
          <w:color w:val="000000" w:themeColor="text1"/>
          <w:kern w:val="0"/>
          <w:sz w:val="21"/>
          <w:szCs w:val="21"/>
          <w:highlight w:val="none"/>
          <w:lang w:val="en-US" w:eastAsia="zh-CN"/>
          <w14:textFill>
            <w14:solidFill>
              <w14:schemeClr w14:val="tx1"/>
            </w14:solidFill>
          </w14:textFill>
        </w:rPr>
        <w:t>甲方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有权终止合同，一切后果由</w:t>
      </w:r>
      <w:r>
        <w:rPr>
          <w:rFonts w:hint="eastAsia" w:ascii="宋体" w:hAnsi="宋体" w:cs="宋体"/>
          <w:color w:val="000000" w:themeColor="text1"/>
          <w:kern w:val="0"/>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负责。</w:t>
      </w:r>
    </w:p>
    <w:p w14:paraId="2AE4BCF1">
      <w:pPr>
        <w:keepNext w:val="0"/>
        <w:keepLines w:val="0"/>
        <w:pageBreakBefore w:val="0"/>
        <w:widowControl w:val="0"/>
        <w:kinsoku/>
        <w:wordWrap/>
        <w:overflowPunct/>
        <w:topLinePunct w:val="0"/>
        <w:autoSpaceDE/>
        <w:autoSpaceDN/>
        <w:bidi w:val="0"/>
        <w:spacing w:beforeAutospacing="0" w:afterAutospacing="0" w:line="300" w:lineRule="auto"/>
        <w:ind w:firstLine="420" w:firstLineChars="200"/>
        <w:textAlignment w:val="auto"/>
        <w:rPr>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4</w:t>
      </w:r>
      <w:r>
        <w:rPr>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若有验收程序，甲乙双方必须同时在场，乙方所提供的服务</w:t>
      </w:r>
      <w:r>
        <w:rPr>
          <w:rFonts w:hint="eastAsia" w:ascii="宋体" w:hAnsi="宋体" w:cs="宋体"/>
          <w:color w:val="000000" w:themeColor="text1"/>
          <w:sz w:val="21"/>
          <w:szCs w:val="21"/>
          <w:highlight w:val="none"/>
          <w:shd w:val="clear" w:color="auto" w:fill="FFFFFF"/>
          <w:lang w:eastAsia="zh-CN"/>
          <w14:textFill>
            <w14:solidFill>
              <w14:schemeClr w14:val="tx1"/>
            </w14:solidFill>
          </w14:textFill>
        </w:rPr>
        <w:t>、</w:t>
      </w: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产品</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不符合</w:t>
      </w: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采购要求</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的，甲方有权拒绝验收。乙方应及时按本合同内容规定和甲方要求免费进行整改，直至验收合格，方视为乙方按本合同规定完成服务</w:t>
      </w:r>
      <w:r>
        <w:rPr>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p>
    <w:p w14:paraId="6731B2E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color w:val="000000" w:themeColor="text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（5）季度复评：质量、时效、服务、合规性，一票否决：出现农残超标、注水肉、过期品、食品安全事故，立即终止合作，一切后果由</w:t>
      </w:r>
      <w:r>
        <w:rPr>
          <w:rFonts w:hint="eastAsia" w:ascii="宋体" w:hAnsi="宋体" w:cs="宋体"/>
          <w:color w:val="000000" w:themeColor="text1"/>
          <w:kern w:val="0"/>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负责。</w:t>
      </w:r>
    </w:p>
    <w:p w14:paraId="549151C5">
      <w:pPr>
        <w:keepNext w:val="0"/>
        <w:keepLines w:val="0"/>
        <w:pageBreakBefore w:val="0"/>
        <w:widowControl w:val="0"/>
        <w:kinsoku/>
        <w:wordWrap/>
        <w:overflowPunct/>
        <w:topLinePunct w:val="0"/>
        <w:autoSpaceDE/>
        <w:autoSpaceDN/>
        <w:bidi w:val="0"/>
        <w:spacing w:beforeAutospacing="0" w:afterAutospacing="0" w:line="300" w:lineRule="auto"/>
        <w:ind w:firstLine="420" w:firstLineChars="200"/>
        <w:textAlignment w:val="auto"/>
        <w:rPr>
          <w:rFonts w:hint="eastAsia" w:ascii="宋体" w:hAnsi="宋体" w:eastAsia="宋体" w:cs="宋体"/>
          <w:color w:val="000000" w:themeColor="text1"/>
          <w:sz w:val="2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6</w:t>
      </w:r>
      <w:r>
        <w:rPr>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在经过乙方两次限期整改后，</w:t>
      </w:r>
      <w:r>
        <w:rPr>
          <w:rFonts w:hint="eastAsia" w:ascii="宋体" w:hAnsi="宋体" w:cs="宋体"/>
          <w:color w:val="000000" w:themeColor="text1"/>
          <w:sz w:val="21"/>
          <w:szCs w:val="21"/>
          <w:highlight w:val="none"/>
          <w:shd w:val="clear" w:color="auto" w:fill="FFFFFF"/>
          <w:lang w:val="en-US" w:eastAsia="zh-CN"/>
          <w14:textFill>
            <w14:solidFill>
              <w14:schemeClr w14:val="tx1"/>
            </w14:solidFill>
          </w14:textFill>
        </w:rPr>
        <w:t>检测</w:t>
      </w:r>
      <w:r>
        <w:rPr>
          <w:rFonts w:hint="eastAsia" w:ascii="宋体" w:hAnsi="宋体" w:eastAsia="宋体" w:cs="宋体"/>
          <w:color w:val="000000" w:themeColor="text1"/>
          <w:sz w:val="21"/>
          <w:szCs w:val="21"/>
          <w:highlight w:val="none"/>
          <w:shd w:val="clear" w:color="auto" w:fill="FFFFFF"/>
          <w14:textFill>
            <w14:solidFill>
              <w14:schemeClr w14:val="tx1"/>
            </w14:solidFill>
          </w14:textFill>
        </w:rPr>
        <w:t>服务仍达不到合同文件规定内容的，甲方有权拒收，并可以解除合同，由此引起甲方损失及赔偿责任由乙方承担</w:t>
      </w:r>
      <w:r>
        <w:rPr>
          <w:rFonts w:hint="eastAsia" w:ascii="宋体" w:hAnsi="宋体" w:eastAsia="宋体" w:cs="宋体"/>
          <w:color w:val="000000" w:themeColor="text1"/>
          <w:sz w:val="21"/>
          <w:szCs w:val="21"/>
          <w:highlight w:val="none"/>
          <w:shd w:val="clear" w:color="auto" w:fill="FFFFFF"/>
          <w:lang w:eastAsia="zh-CN"/>
          <w14:textFill>
            <w14:solidFill>
              <w14:schemeClr w14:val="tx1"/>
            </w14:solidFill>
          </w14:textFill>
        </w:rPr>
        <w:t>。</w:t>
      </w:r>
    </w:p>
    <w:p w14:paraId="6DEE3251">
      <w:pPr>
        <w:keepNext w:val="0"/>
        <w:keepLines w:val="0"/>
        <w:pageBreakBefore w:val="0"/>
        <w:wordWrap/>
        <w:overflowPunct/>
        <w:topLinePunct w:val="0"/>
        <w:bidi w:val="0"/>
        <w:spacing w:beforeAutospacing="0" w:afterAutospacing="0" w:line="360" w:lineRule="auto"/>
        <w:rPr>
          <w:rFonts w:hint="eastAsia" w:ascii="宋体" w:hAns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第</w:t>
      </w:r>
      <w:r>
        <w:rPr>
          <w:rFonts w:hint="eastAsia" w:ascii="宋体" w:hAnsi="宋体" w:cs="宋体"/>
          <w:b/>
          <w:color w:val="000000" w:themeColor="text1"/>
          <w:sz w:val="21"/>
          <w:szCs w:val="21"/>
          <w:highlight w:val="none"/>
          <w:lang w:val="en-US" w:eastAsia="zh-CN"/>
          <w14:textFill>
            <w14:solidFill>
              <w14:schemeClr w14:val="tx1"/>
            </w14:solidFill>
          </w14:textFill>
        </w:rPr>
        <w:t>十</w:t>
      </w:r>
      <w:r>
        <w:rPr>
          <w:rFonts w:hint="eastAsia" w:ascii="宋体" w:hAnsi="宋体" w:cs="宋体"/>
          <w:b/>
          <w:color w:val="000000" w:themeColor="text1"/>
          <w:sz w:val="21"/>
          <w:szCs w:val="21"/>
          <w:highlight w:val="none"/>
          <w14:textFill>
            <w14:solidFill>
              <w14:schemeClr w14:val="tx1"/>
            </w14:solidFill>
          </w14:textFill>
        </w:rPr>
        <w:t>条  违约责任</w:t>
      </w:r>
    </w:p>
    <w:p w14:paraId="2B4B313E">
      <w:pPr>
        <w:spacing w:line="360" w:lineRule="auto"/>
        <w:ind w:firstLine="420" w:firstLineChars="200"/>
        <w:rPr>
          <w:rFonts w:hint="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1、合同违约情况按《中华人民共和国民法典》中的相关条款执行。</w:t>
      </w:r>
    </w:p>
    <w:p w14:paraId="0388169C">
      <w:pPr>
        <w:spacing w:line="360" w:lineRule="auto"/>
        <w:ind w:firstLine="420" w:firstLineChars="200"/>
        <w:rPr>
          <w:rFonts w:hint="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2、甲乙双方必须遵守本合同并执行合同中的各项规定，保证本合同的正常履行。</w:t>
      </w:r>
    </w:p>
    <w:p w14:paraId="4C64FC9F">
      <w:pPr>
        <w:spacing w:line="360" w:lineRule="auto"/>
        <w:ind w:firstLine="420" w:firstLineChars="200"/>
        <w:rPr>
          <w:rFonts w:hint="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 xml:space="preserve">3、甲乙双方如因其他原因要解除合约，应提前一个月通知对方，如有一方违反 将补偿对方一个月服务费，同时按照相关法律法规承担相应处罚。   </w:t>
      </w:r>
    </w:p>
    <w:p w14:paraId="7970451D">
      <w:pPr>
        <w:spacing w:line="360" w:lineRule="auto"/>
        <w:ind w:firstLine="420" w:firstLineChars="200"/>
        <w:rPr>
          <w:rFonts w:hint="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4、原材料没有按时按要求配送到位，影响甲方员工餐厅正常开餐的，以当日需求计划总量两倍价款赔付当日损失，同时责任原材料乙方应支付当日需求计划总量30%价款作为违约金。</w:t>
      </w:r>
    </w:p>
    <w:p w14:paraId="732F9AE2">
      <w:pPr>
        <w:spacing w:line="360" w:lineRule="auto"/>
        <w:ind w:firstLine="420" w:firstLineChars="200"/>
        <w:rPr>
          <w:rFonts w:hint="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5、原材料在验收时有不符合要求的，一律退回，乙方无条件重新更换配送货物，更换后仍然不符合标准的，乙方应支付违约金；同时应明确违约金数额，可以约定以当日需求计划总量30%价款作为违约金。</w:t>
      </w:r>
    </w:p>
    <w:p w14:paraId="5DF9E623">
      <w:pPr>
        <w:spacing w:line="360" w:lineRule="auto"/>
        <w:ind w:firstLine="420" w:firstLineChars="200"/>
        <w:rPr>
          <w:rFonts w:hint="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6、任何因原材料质量问题导致的食品安全或食物中毒责任，在确认导致问题的原材料品种后，由该乙方承担全部法律责任与经济损失，除对甲方进行赔付外，甲方有权单方终止合同</w:t>
      </w:r>
    </w:p>
    <w:p w14:paraId="19CA641A">
      <w:pPr>
        <w:spacing w:line="360" w:lineRule="auto"/>
        <w:ind w:firstLine="420" w:firstLineChars="200"/>
        <w:rPr>
          <w:rFonts w:hint="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7、乙方人员违反合同所约定之义务，影响合同约定区域的安全或导致甲方其他方面损害，经甲方书面警告仍无整改，甲方有权单方面终止合同，而无须承担任何责任。</w:t>
      </w:r>
    </w:p>
    <w:p w14:paraId="626562A4">
      <w:pPr>
        <w:spacing w:line="360" w:lineRule="auto"/>
        <w:ind w:firstLine="420" w:firstLineChars="200"/>
        <w:rPr>
          <w:rFonts w:hint="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8、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9345118">
      <w:pPr>
        <w:spacing w:line="360" w:lineRule="auto"/>
        <w:ind w:firstLine="420" w:firstLineChars="200"/>
        <w:rPr>
          <w:rFonts w:hint="eastAsia"/>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9、乙方未按合同要求提供服务、产品的质量不能满足采购需求，甲方有权终止合同并对乙方违约行为进行追究，同时按政府采购法的有关规定进行相应的处罚。</w:t>
      </w:r>
    </w:p>
    <w:p w14:paraId="0DE96EA8">
      <w:pPr>
        <w:keepNext w:val="0"/>
        <w:keepLines w:val="0"/>
        <w:pageBreakBefore w:val="0"/>
        <w:wordWrap/>
        <w:overflowPunct/>
        <w:topLinePunct w:val="0"/>
        <w:bidi w:val="0"/>
        <w:spacing w:beforeAutospacing="0" w:afterAutospacing="0" w:line="360" w:lineRule="auto"/>
        <w:rPr>
          <w:rFonts w:ascii="宋体" w:hAns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第十</w:t>
      </w:r>
      <w:r>
        <w:rPr>
          <w:rFonts w:hint="eastAsia" w:ascii="宋体" w:hAnsi="宋体" w:cs="宋体"/>
          <w:b/>
          <w:color w:val="000000" w:themeColor="text1"/>
          <w:sz w:val="21"/>
          <w:szCs w:val="21"/>
          <w:highlight w:val="none"/>
          <w:lang w:val="en-US" w:eastAsia="zh-CN"/>
          <w14:textFill>
            <w14:solidFill>
              <w14:schemeClr w14:val="tx1"/>
            </w14:solidFill>
          </w14:textFill>
        </w:rPr>
        <w:t>一</w:t>
      </w:r>
      <w:r>
        <w:rPr>
          <w:rFonts w:hint="eastAsia" w:ascii="宋体" w:hAnsi="宋体" w:cs="宋体"/>
          <w:b/>
          <w:color w:val="000000" w:themeColor="text1"/>
          <w:sz w:val="21"/>
          <w:szCs w:val="21"/>
          <w:highlight w:val="none"/>
          <w14:textFill>
            <w14:solidFill>
              <w14:schemeClr w14:val="tx1"/>
            </w14:solidFill>
          </w14:textFill>
        </w:rPr>
        <w:t>条  合同的变更和终止</w:t>
      </w:r>
    </w:p>
    <w:p w14:paraId="5C004723">
      <w:pPr>
        <w:keepNext w:val="0"/>
        <w:keepLines w:val="0"/>
        <w:pageBreakBefore w:val="0"/>
        <w:wordWrap/>
        <w:overflowPunct/>
        <w:topLinePunct w:val="0"/>
        <w:bidi w:val="0"/>
        <w:spacing w:beforeAutospacing="0" w:afterAutospacing="0" w:line="360" w:lineRule="auto"/>
        <w:ind w:firstLine="420"/>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除《中华人民共和国政府采购法》第49条、第50条第二款规定的情形外，本合同一经签订，甲乙双方不得擅自变更、中止或终止合同。</w:t>
      </w:r>
    </w:p>
    <w:p w14:paraId="11AFDC88">
      <w:pPr>
        <w:keepNext w:val="0"/>
        <w:keepLines w:val="0"/>
        <w:pageBreakBefore w:val="0"/>
        <w:wordWrap/>
        <w:overflowPunct/>
        <w:topLinePunct w:val="0"/>
        <w:bidi w:val="0"/>
        <w:spacing w:beforeAutospacing="0" w:afterAutospacing="0" w:line="360" w:lineRule="auto"/>
        <w:rPr>
          <w:rFonts w:ascii="宋体" w:hAns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第十</w:t>
      </w:r>
      <w:r>
        <w:rPr>
          <w:rFonts w:hint="eastAsia" w:ascii="宋体" w:hAnsi="宋体" w:cs="宋体"/>
          <w:b/>
          <w:color w:val="000000" w:themeColor="text1"/>
          <w:sz w:val="21"/>
          <w:szCs w:val="21"/>
          <w:highlight w:val="none"/>
          <w:lang w:val="en-US" w:eastAsia="zh-CN"/>
          <w14:textFill>
            <w14:solidFill>
              <w14:schemeClr w14:val="tx1"/>
            </w14:solidFill>
          </w14:textFill>
        </w:rPr>
        <w:t>二</w:t>
      </w:r>
      <w:r>
        <w:rPr>
          <w:rFonts w:hint="eastAsia" w:ascii="宋体" w:hAnsi="宋体" w:cs="宋体"/>
          <w:b/>
          <w:color w:val="000000" w:themeColor="text1"/>
          <w:sz w:val="21"/>
          <w:szCs w:val="21"/>
          <w:highlight w:val="none"/>
          <w14:textFill>
            <w14:solidFill>
              <w14:schemeClr w14:val="tx1"/>
            </w14:solidFill>
          </w14:textFill>
        </w:rPr>
        <w:t>条  解决合同纠纷的方式</w:t>
      </w:r>
    </w:p>
    <w:p w14:paraId="3FBC7D48">
      <w:pPr>
        <w:keepNext w:val="0"/>
        <w:keepLines w:val="0"/>
        <w:pageBreakBefore w:val="0"/>
        <w:wordWrap/>
        <w:overflowPunct/>
        <w:topLinePunct w:val="0"/>
        <w:bidi w:val="0"/>
        <w:spacing w:beforeAutospacing="0" w:afterAutospacing="0" w:line="360" w:lineRule="auto"/>
        <w:ind w:firstLine="420"/>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1、合同一经签订，不得随意变更、中止或终止；对确需变更、调整或者中止、终止合同的，应按规定履行相应的手续；在执行本合同中发生的或与本合同有关的争端，双方应通过友好协商解决，经协商不能达成协议时，则采取以下第</w:t>
      </w:r>
      <w:r>
        <w:rPr>
          <w:rFonts w:hint="eastAsia" w:ascii="宋体" w:hAnsi="宋体" w:cs="宋体"/>
          <w:color w:val="000000" w:themeColor="text1"/>
          <w:sz w:val="21"/>
          <w:szCs w:val="21"/>
          <w:highlight w:val="none"/>
          <w:u w:val="single"/>
          <w:lang w:eastAsia="zh-CN"/>
          <w14:textFill>
            <w14:solidFill>
              <w14:schemeClr w14:val="tx1"/>
            </w14:solidFill>
          </w14:textFill>
        </w:rPr>
        <w:t>（</w:t>
      </w:r>
      <w:r>
        <w:rPr>
          <w:rFonts w:hint="eastAsia" w:ascii="宋体" w:hAnsi="宋体" w:cs="宋体"/>
          <w:color w:val="000000" w:themeColor="text1"/>
          <w:sz w:val="21"/>
          <w:szCs w:val="21"/>
          <w:highlight w:val="none"/>
          <w:u w:val="single"/>
          <w:lang w:val="en-US" w:eastAsia="zh-CN"/>
          <w14:textFill>
            <w14:solidFill>
              <w14:schemeClr w14:val="tx1"/>
            </w14:solidFill>
          </w14:textFill>
        </w:rPr>
        <w:t>1</w:t>
      </w:r>
      <w:r>
        <w:rPr>
          <w:rFonts w:hint="eastAsia" w:ascii="宋体" w:hAnsi="宋体" w:cs="宋体"/>
          <w:color w:val="000000" w:themeColor="text1"/>
          <w:sz w:val="21"/>
          <w:szCs w:val="21"/>
          <w:highlight w:val="none"/>
          <w:u w:val="single"/>
          <w:lang w:eastAsia="zh-CN"/>
          <w14:textFill>
            <w14:solidFill>
              <w14:schemeClr w14:val="tx1"/>
            </w14:solidFill>
          </w14:textFill>
        </w:rPr>
        <w:t>）</w:t>
      </w:r>
      <w:r>
        <w:rPr>
          <w:rFonts w:hint="eastAsia" w:ascii="宋体" w:hAnsi="宋体" w:cs="宋体"/>
          <w:color w:val="000000" w:themeColor="text1"/>
          <w:sz w:val="21"/>
          <w:szCs w:val="21"/>
          <w:highlight w:val="none"/>
          <w14:textFill>
            <w14:solidFill>
              <w14:schemeClr w14:val="tx1"/>
            </w14:solidFill>
          </w14:textFill>
        </w:rPr>
        <w:t>种方式解决争议：</w:t>
      </w:r>
    </w:p>
    <w:p w14:paraId="37132807">
      <w:pPr>
        <w:keepNext w:val="0"/>
        <w:keepLines w:val="0"/>
        <w:pageBreakBefore w:val="0"/>
        <w:wordWrap/>
        <w:overflowPunct/>
        <w:topLinePunct w:val="0"/>
        <w:bidi w:val="0"/>
        <w:spacing w:beforeAutospacing="0" w:afterAutospacing="0" w:line="360" w:lineRule="auto"/>
        <w:ind w:firstLine="420"/>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（1）向甲方所在地有管辖权的人民法院提起诉讼；</w:t>
      </w:r>
    </w:p>
    <w:p w14:paraId="3DB20F8E">
      <w:pPr>
        <w:keepNext w:val="0"/>
        <w:keepLines w:val="0"/>
        <w:pageBreakBefore w:val="0"/>
        <w:wordWrap/>
        <w:overflowPunct/>
        <w:topLinePunct w:val="0"/>
        <w:bidi w:val="0"/>
        <w:spacing w:beforeAutospacing="0" w:afterAutospacing="0" w:line="360" w:lineRule="auto"/>
        <w:ind w:firstLine="420"/>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（2）向西安仲裁委员会按其仲裁规则申请仲裁。</w:t>
      </w:r>
    </w:p>
    <w:p w14:paraId="3C33A770">
      <w:pPr>
        <w:keepNext w:val="0"/>
        <w:keepLines w:val="0"/>
        <w:pageBreakBefore w:val="0"/>
        <w:wordWrap/>
        <w:overflowPunct/>
        <w:topLinePunct w:val="0"/>
        <w:bidi w:val="0"/>
        <w:spacing w:beforeAutospacing="0" w:afterAutospacing="0" w:line="360" w:lineRule="auto"/>
        <w:ind w:firstLine="420"/>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2、在仲裁期间，除双方有争议的部分外，本合同其他部分仍然有效，各方应继续履行。</w:t>
      </w:r>
    </w:p>
    <w:p w14:paraId="084AECD6">
      <w:pPr>
        <w:keepNext w:val="0"/>
        <w:keepLines w:val="0"/>
        <w:pageBreakBefore w:val="0"/>
        <w:wordWrap/>
        <w:overflowPunct/>
        <w:topLinePunct w:val="0"/>
        <w:bidi w:val="0"/>
        <w:spacing w:beforeAutospacing="0" w:afterAutospacing="0" w:line="360" w:lineRule="auto"/>
        <w:rPr>
          <w:rFonts w:ascii="宋体" w:hAns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第十</w:t>
      </w:r>
      <w:r>
        <w:rPr>
          <w:rFonts w:hint="eastAsia" w:ascii="宋体" w:hAnsi="宋体" w:cs="宋体"/>
          <w:b/>
          <w:color w:val="000000" w:themeColor="text1"/>
          <w:sz w:val="21"/>
          <w:szCs w:val="21"/>
          <w:highlight w:val="none"/>
          <w:lang w:val="en-US" w:eastAsia="zh-CN"/>
          <w14:textFill>
            <w14:solidFill>
              <w14:schemeClr w14:val="tx1"/>
            </w14:solidFill>
          </w14:textFill>
        </w:rPr>
        <w:t>三</w:t>
      </w:r>
      <w:r>
        <w:rPr>
          <w:rFonts w:hint="eastAsia" w:ascii="宋体" w:hAnsi="宋体" w:cs="宋体"/>
          <w:b/>
          <w:color w:val="000000" w:themeColor="text1"/>
          <w:sz w:val="21"/>
          <w:szCs w:val="21"/>
          <w:highlight w:val="none"/>
          <w14:textFill>
            <w14:solidFill>
              <w14:schemeClr w14:val="tx1"/>
            </w14:solidFill>
          </w14:textFill>
        </w:rPr>
        <w:t>条  附件</w:t>
      </w:r>
    </w:p>
    <w:p w14:paraId="6F5FFB86">
      <w:pPr>
        <w:keepNext w:val="0"/>
        <w:keepLines w:val="0"/>
        <w:pageBreakBefore w:val="0"/>
        <w:wordWrap/>
        <w:overflowPunct/>
        <w:topLinePunct w:val="0"/>
        <w:bidi w:val="0"/>
        <w:spacing w:beforeAutospacing="0" w:afterAutospacing="0" w:line="360" w:lineRule="auto"/>
        <w:ind w:firstLine="420"/>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1、采购文件</w:t>
      </w:r>
    </w:p>
    <w:p w14:paraId="1D873246">
      <w:pPr>
        <w:keepNext w:val="0"/>
        <w:keepLines w:val="0"/>
        <w:pageBreakBefore w:val="0"/>
        <w:wordWrap/>
        <w:overflowPunct/>
        <w:topLinePunct w:val="0"/>
        <w:bidi w:val="0"/>
        <w:spacing w:beforeAutospacing="0" w:afterAutospacing="0" w:line="360" w:lineRule="auto"/>
        <w:ind w:firstLine="420"/>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2、修改澄清文件</w:t>
      </w:r>
    </w:p>
    <w:p w14:paraId="71E5F735">
      <w:pPr>
        <w:keepNext w:val="0"/>
        <w:keepLines w:val="0"/>
        <w:pageBreakBefore w:val="0"/>
        <w:wordWrap/>
        <w:overflowPunct/>
        <w:topLinePunct w:val="0"/>
        <w:bidi w:val="0"/>
        <w:spacing w:beforeAutospacing="0" w:afterAutospacing="0" w:line="360" w:lineRule="auto"/>
        <w:ind w:firstLine="420"/>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3、响应文件</w:t>
      </w:r>
    </w:p>
    <w:p w14:paraId="6AB21750">
      <w:pPr>
        <w:keepNext w:val="0"/>
        <w:keepLines w:val="0"/>
        <w:pageBreakBefore w:val="0"/>
        <w:wordWrap/>
        <w:overflowPunct/>
        <w:topLinePunct w:val="0"/>
        <w:bidi w:val="0"/>
        <w:spacing w:beforeAutospacing="0" w:afterAutospacing="0" w:line="360" w:lineRule="auto"/>
        <w:ind w:firstLine="420"/>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4、成交通知书</w:t>
      </w:r>
    </w:p>
    <w:p w14:paraId="703B516C">
      <w:pPr>
        <w:keepNext w:val="0"/>
        <w:keepLines w:val="0"/>
        <w:pageBreakBefore w:val="0"/>
        <w:wordWrap/>
        <w:overflowPunct/>
        <w:topLinePunct w:val="0"/>
        <w:bidi w:val="0"/>
        <w:spacing w:beforeAutospacing="0" w:afterAutospacing="0" w:line="360" w:lineRule="auto"/>
        <w:ind w:firstLine="420"/>
        <w:rPr>
          <w:rFonts w:ascii="宋体" w:hAnsi="宋体" w:cs="宋体"/>
          <w:b/>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5、其他</w:t>
      </w:r>
    </w:p>
    <w:p w14:paraId="3E216F0D">
      <w:pPr>
        <w:keepNext w:val="0"/>
        <w:keepLines w:val="0"/>
        <w:pageBreakBefore w:val="0"/>
        <w:wordWrap/>
        <w:overflowPunct/>
        <w:topLinePunct w:val="0"/>
        <w:bidi w:val="0"/>
        <w:spacing w:beforeAutospacing="0" w:afterAutospacing="0" w:line="360" w:lineRule="auto"/>
        <w:rPr>
          <w:rFonts w:ascii="宋体" w:hAns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第十</w:t>
      </w:r>
      <w:r>
        <w:rPr>
          <w:rFonts w:hint="eastAsia" w:ascii="宋体" w:hAnsi="宋体" w:cs="宋体"/>
          <w:b/>
          <w:color w:val="000000" w:themeColor="text1"/>
          <w:sz w:val="21"/>
          <w:szCs w:val="21"/>
          <w:highlight w:val="none"/>
          <w:lang w:val="en-US" w:eastAsia="zh-CN"/>
          <w14:textFill>
            <w14:solidFill>
              <w14:schemeClr w14:val="tx1"/>
            </w14:solidFill>
          </w14:textFill>
        </w:rPr>
        <w:t>四</w:t>
      </w:r>
      <w:r>
        <w:rPr>
          <w:rFonts w:hint="eastAsia" w:ascii="宋体" w:hAnsi="宋体" w:cs="宋体"/>
          <w:b/>
          <w:color w:val="000000" w:themeColor="text1"/>
          <w:sz w:val="21"/>
          <w:szCs w:val="21"/>
          <w:highlight w:val="none"/>
          <w14:textFill>
            <w14:solidFill>
              <w14:schemeClr w14:val="tx1"/>
            </w14:solidFill>
          </w14:textFill>
        </w:rPr>
        <w:t>条  合同生效及其他</w:t>
      </w:r>
    </w:p>
    <w:p w14:paraId="72D2E49A">
      <w:pPr>
        <w:keepNext w:val="0"/>
        <w:keepLines w:val="0"/>
        <w:pageBreakBefore w:val="0"/>
        <w:wordWrap/>
        <w:overflowPunct/>
        <w:topLinePunct w:val="0"/>
        <w:bidi w:val="0"/>
        <w:spacing w:beforeAutospacing="0" w:afterAutospacing="0" w:line="360" w:lineRule="auto"/>
        <w:ind w:firstLine="420"/>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1、合同经双方法定代表人</w:t>
      </w:r>
      <w:r>
        <w:rPr>
          <w:rFonts w:hint="eastAsia" w:ascii="宋体" w:hAnsi="宋体" w:cs="宋体"/>
          <w:color w:val="000000" w:themeColor="text1"/>
          <w:sz w:val="21"/>
          <w:szCs w:val="21"/>
          <w:highlight w:val="none"/>
          <w:lang w:val="en-US" w:eastAsia="zh-CN"/>
          <w14:textFill>
            <w14:solidFill>
              <w14:schemeClr w14:val="tx1"/>
            </w14:solidFill>
          </w14:textFill>
        </w:rPr>
        <w:t>(单位负责人)</w:t>
      </w:r>
      <w:r>
        <w:rPr>
          <w:rFonts w:hint="eastAsia" w:ascii="宋体" w:hAnsi="宋体" w:cs="宋体"/>
          <w:color w:val="000000" w:themeColor="text1"/>
          <w:sz w:val="21"/>
          <w:szCs w:val="21"/>
          <w:highlight w:val="none"/>
          <w14:textFill>
            <w14:solidFill>
              <w14:schemeClr w14:val="tx1"/>
            </w14:solidFill>
          </w14:textFill>
        </w:rPr>
        <w:t>或授权委托代理人签字并加盖单位公章后生效。</w:t>
      </w:r>
    </w:p>
    <w:p w14:paraId="3ED64B58">
      <w:pPr>
        <w:keepNext w:val="0"/>
        <w:keepLines w:val="0"/>
        <w:pageBreakBefore w:val="0"/>
        <w:wordWrap/>
        <w:overflowPunct/>
        <w:topLinePunct w:val="0"/>
        <w:bidi w:val="0"/>
        <w:spacing w:beforeAutospacing="0" w:afterAutospacing="0" w:line="360" w:lineRule="auto"/>
        <w:ind w:firstLine="420"/>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2、合同执行中涉及采购资金和采购内容修改或补充的，须经政府采购监管部门审批，并</w:t>
      </w:r>
      <w:r>
        <w:rPr>
          <w:rFonts w:hint="eastAsia" w:ascii="宋体" w:hAnsi="宋体" w:cs="宋体"/>
          <w:color w:val="000000" w:themeColor="text1"/>
          <w:sz w:val="21"/>
          <w:szCs w:val="21"/>
          <w:highlight w:val="none"/>
          <w:lang w:eastAsia="zh-CN"/>
          <w14:textFill>
            <w14:solidFill>
              <w14:schemeClr w14:val="tx1"/>
            </w14:solidFill>
          </w14:textFill>
        </w:rPr>
        <w:t>签订</w:t>
      </w:r>
      <w:r>
        <w:rPr>
          <w:rFonts w:hint="eastAsia" w:ascii="宋体" w:hAnsi="宋体" w:cs="宋体"/>
          <w:color w:val="000000" w:themeColor="text1"/>
          <w:sz w:val="21"/>
          <w:szCs w:val="21"/>
          <w:highlight w:val="none"/>
          <w14:textFill>
            <w14:solidFill>
              <w14:schemeClr w14:val="tx1"/>
            </w14:solidFill>
          </w14:textFill>
        </w:rPr>
        <w:t>书面补充协议报政府采购监督管理部门备案，方可作为主合同不可分割的一部分。</w:t>
      </w:r>
    </w:p>
    <w:p w14:paraId="6F5F06E5">
      <w:pPr>
        <w:keepNext w:val="0"/>
        <w:keepLines w:val="0"/>
        <w:pageBreakBefore w:val="0"/>
        <w:wordWrap/>
        <w:overflowPunct/>
        <w:topLinePunct w:val="0"/>
        <w:bidi w:val="0"/>
        <w:spacing w:beforeAutospacing="0" w:afterAutospacing="0" w:line="360" w:lineRule="auto"/>
        <w:ind w:firstLine="420"/>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3、本合同一式</w:t>
      </w:r>
      <w:r>
        <w:rPr>
          <w:rFonts w:hint="eastAsia"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份，自双方签章之日起</w:t>
      </w:r>
      <w:r>
        <w:rPr>
          <w:rFonts w:hint="eastAsia" w:ascii="宋体" w:hAnsi="宋体" w:cs="宋体"/>
          <w:color w:val="000000" w:themeColor="text1"/>
          <w:sz w:val="21"/>
          <w:szCs w:val="21"/>
          <w:highlight w:val="none"/>
          <w:lang w:eastAsia="zh-CN"/>
          <w14:textFill>
            <w14:solidFill>
              <w14:schemeClr w14:val="tx1"/>
            </w14:solidFill>
          </w14:textFill>
        </w:rPr>
        <w:t>生效</w:t>
      </w:r>
      <w:r>
        <w:rPr>
          <w:rFonts w:hint="eastAsia" w:ascii="宋体" w:hAnsi="宋体" w:cs="宋体"/>
          <w:color w:val="000000" w:themeColor="text1"/>
          <w:sz w:val="21"/>
          <w:szCs w:val="21"/>
          <w:highlight w:val="none"/>
          <w14:textFill>
            <w14:solidFill>
              <w14:schemeClr w14:val="tx1"/>
            </w14:solidFill>
          </w14:textFill>
        </w:rPr>
        <w:t>。甲方</w:t>
      </w:r>
      <w:r>
        <w:rPr>
          <w:rFonts w:hint="eastAsia"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份，乙方</w:t>
      </w:r>
      <w:r>
        <w:rPr>
          <w:rFonts w:hint="eastAsia"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份，政府采购代理机构壹份，同级财政部门备案壹份，具有同等法律效力。</w:t>
      </w:r>
    </w:p>
    <w:p w14:paraId="296D1A03">
      <w:pPr>
        <w:keepNext w:val="0"/>
        <w:keepLines w:val="0"/>
        <w:pageBreakBefore w:val="0"/>
        <w:wordWrap/>
        <w:overflowPunct/>
        <w:topLinePunct w:val="0"/>
        <w:bidi w:val="0"/>
        <w:spacing w:beforeAutospacing="0" w:afterAutospacing="0" w:line="360" w:lineRule="auto"/>
        <w:ind w:firstLine="422"/>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（以下无正文为合同签署页）</w:t>
      </w:r>
    </w:p>
    <w:p w14:paraId="06D6C25A">
      <w:pPr>
        <w:keepNext w:val="0"/>
        <w:keepLines w:val="0"/>
        <w:pageBreakBefore w:val="0"/>
        <w:widowControl w:val="0"/>
        <w:kinsoku/>
        <w:wordWrap/>
        <w:overflowPunct/>
        <w:topLinePunct w:val="0"/>
        <w:autoSpaceDE/>
        <w:autoSpaceDN/>
        <w:bidi w:val="0"/>
        <w:spacing w:beforeAutospacing="0" w:afterAutospacing="0" w:line="360" w:lineRule="auto"/>
        <w:ind w:firstLine="420"/>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甲方（盖章）：                          乙方（盖章）：                   </w:t>
      </w:r>
    </w:p>
    <w:p w14:paraId="52CAB0A2">
      <w:pPr>
        <w:keepNext w:val="0"/>
        <w:keepLines w:val="0"/>
        <w:pageBreakBefore w:val="0"/>
        <w:widowControl w:val="0"/>
        <w:kinsoku/>
        <w:wordWrap/>
        <w:overflowPunct/>
        <w:topLinePunct w:val="0"/>
        <w:autoSpaceDE/>
        <w:autoSpaceDN/>
        <w:bidi w:val="0"/>
        <w:spacing w:beforeAutospacing="0" w:afterAutospacing="0" w:line="360" w:lineRule="auto"/>
        <w:ind w:firstLine="420"/>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法定代表人/授权代理人                  法定代表人/授权代理人             </w:t>
      </w:r>
    </w:p>
    <w:p w14:paraId="1FAED610">
      <w:pPr>
        <w:keepNext w:val="0"/>
        <w:keepLines w:val="0"/>
        <w:pageBreakBefore w:val="0"/>
        <w:widowControl w:val="0"/>
        <w:kinsoku/>
        <w:wordWrap/>
        <w:overflowPunct/>
        <w:topLinePunct w:val="0"/>
        <w:autoSpaceDE/>
        <w:autoSpaceDN/>
        <w:bidi w:val="0"/>
        <w:spacing w:beforeAutospacing="0" w:afterAutospacing="0" w:line="360" w:lineRule="auto"/>
        <w:ind w:firstLine="420"/>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（签字或盖章）：                       （签字或盖章）：          </w:t>
      </w:r>
    </w:p>
    <w:p w14:paraId="115ED20D">
      <w:pPr>
        <w:keepNext w:val="0"/>
        <w:keepLines w:val="0"/>
        <w:pageBreakBefore w:val="0"/>
        <w:widowControl w:val="0"/>
        <w:kinsoku/>
        <w:wordWrap/>
        <w:overflowPunct/>
        <w:topLinePunct w:val="0"/>
        <w:autoSpaceDE/>
        <w:autoSpaceDN/>
        <w:bidi w:val="0"/>
        <w:spacing w:beforeAutospacing="0" w:afterAutospacing="0" w:line="360" w:lineRule="auto"/>
        <w:ind w:firstLine="420"/>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地址：                                  地址：                        </w:t>
      </w:r>
    </w:p>
    <w:p w14:paraId="16DF8331">
      <w:pPr>
        <w:keepNext w:val="0"/>
        <w:keepLines w:val="0"/>
        <w:pageBreakBefore w:val="0"/>
        <w:widowControl w:val="0"/>
        <w:kinsoku/>
        <w:wordWrap/>
        <w:overflowPunct/>
        <w:topLinePunct w:val="0"/>
        <w:autoSpaceDE/>
        <w:autoSpaceDN/>
        <w:bidi w:val="0"/>
        <w:spacing w:beforeAutospacing="0" w:afterAutospacing="0" w:line="360" w:lineRule="auto"/>
        <w:ind w:firstLine="420"/>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电话：                                  电话：                    </w:t>
      </w:r>
    </w:p>
    <w:p w14:paraId="7E0A15B8">
      <w:pPr>
        <w:pStyle w:val="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20" w:firstLineChars="200"/>
        <w:textAlignment w:val="auto"/>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                              账户名称：</w:t>
      </w:r>
    </w:p>
    <w:p w14:paraId="091CDAA7">
      <w:pPr>
        <w:pStyle w:val="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20" w:firstLineChars="200"/>
        <w:textAlignment w:val="auto"/>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                              账户号码：</w:t>
      </w:r>
    </w:p>
    <w:p w14:paraId="30DC12E9">
      <w:pPr>
        <w:pStyle w:val="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20" w:firstLineChars="200"/>
        <w:textAlignment w:val="auto"/>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                              开户银行：</w:t>
      </w:r>
    </w:p>
    <w:p w14:paraId="6771ADC4">
      <w:pPr>
        <w:keepNext w:val="0"/>
        <w:keepLines w:val="0"/>
        <w:pageBreakBefore w:val="0"/>
        <w:widowControl w:val="0"/>
        <w:kinsoku/>
        <w:wordWrap/>
        <w:overflowPunct/>
        <w:topLinePunct w:val="0"/>
        <w:autoSpaceDE/>
        <w:autoSpaceDN/>
        <w:bidi w:val="0"/>
        <w:spacing w:beforeAutospacing="0" w:afterAutospacing="0" w:line="360" w:lineRule="auto"/>
        <w:ind w:firstLine="420" w:firstLineChars="200"/>
        <w:textAlignment w:val="auto"/>
        <w:rPr>
          <w:rFonts w:hint="eastAsia"/>
          <w:color w:val="000000" w:themeColor="text1"/>
          <w:highlight w:val="none"/>
          <w:lang w:val="en-US" w:eastAsia="zh-Hans"/>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签约时间：                              签约时间： </w:t>
      </w:r>
    </w:p>
    <w:p w14:paraId="5835C99D">
      <w:pPr>
        <w:rPr>
          <w:color w:val="000000" w:themeColor="text1"/>
          <w:highlight w:val="none"/>
          <w14:textFill>
            <w14:solidFill>
              <w14:schemeClr w14:val="tx1"/>
            </w14:solidFill>
          </w14:textFill>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5B5181"/>
    <w:rsid w:val="115B5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Plain Text"/>
    <w:basedOn w:val="1"/>
    <w:qFormat/>
    <w:uiPriority w:val="0"/>
    <w:rPr>
      <w:rFonts w:ascii="宋体" w:hAnsi="Courier New" w:cs="Courier New"/>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table" w:customStyle="1" w:styleId="8">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9">
    <w:name w:val="Table Text"/>
    <w:basedOn w:val="1"/>
    <w:qFormat/>
    <w:uiPriority w:val="0"/>
    <w:pPr>
      <w:kinsoku w:val="0"/>
      <w:autoSpaceDE w:val="0"/>
      <w:autoSpaceDN w:val="0"/>
      <w:adjustRightInd w:val="0"/>
      <w:snapToGrid w:val="0"/>
      <w:spacing w:before="240" w:line="329" w:lineRule="auto"/>
      <w:ind w:left="96" w:right="100" w:firstLine="200" w:firstLineChars="100"/>
      <w:jc w:val="center"/>
      <w:textAlignment w:val="baseline"/>
    </w:pPr>
    <w:rPr>
      <w:rFonts w:ascii="Times New Roman" w:hAnsi="Times New Roman"/>
      <w:snapToGrid w:val="0"/>
      <w:color w:val="FF0000"/>
      <w:kern w:val="0"/>
      <w:sz w:val="2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2026-04-02T09:47:00Z</dcterms:created>
  <dc:creator>杜航</dc:creator>
  <cp:lastModifiedBy>杜航</cp:lastModifiedBy>
  <dcterms:modified xsi:type="dcterms:W3CDTF">2026-04-02T09:48:14Z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F08110427E014F15835B47C93EBFF9AB_11</vt:lpwstr>
  </property>
  <property fmtid="{D5CDD505-2E9C-101B-9397-08002B2CF9AE}" pid="4" name="KSOTemplateDocerSaveRecord">
    <vt:lpwstr>eyJoZGlkIjoiNGVjNGI1ZWQxMDUyODY5ZDAxOTAyNjljNjE1NWUwNGQiLCJ1c2VySWQiOiIzMDgwODY2MDYifQ==</vt:lpwstr>
  </property>
</Properties>
</file>