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版本号：SXZY-2026-ZC-115320260420001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2026年机关单位房屋租赁项目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SXZY-2026-ZC-1153</w:t>
      </w:r>
      <w:r>
        <w:br/>
      </w:r>
      <w:r>
        <w:br/>
      </w:r>
      <w:r>
        <w:br/>
      </w:r>
    </w:p>
    <w:p>
      <w:pPr>
        <w:pStyle w:val="null3"/>
        <w:jc w:val="center"/>
        <w:outlineLvl w:val="5"/>
      </w:pPr>
      <w:r>
        <w:rPr>
          <w:rFonts w:ascii="仿宋_GB2312" w:hAnsi="仿宋_GB2312" w:cs="仿宋_GB2312" w:eastAsia="仿宋_GB2312"/>
          <w:sz w:val="15"/>
          <w:b/>
        </w:rPr>
        <w:t>西安市雁塔区城市管理和综合执法局</w:t>
      </w:r>
    </w:p>
    <w:p>
      <w:pPr>
        <w:pStyle w:val="null3"/>
        <w:jc w:val="center"/>
        <w:outlineLvl w:val="5"/>
      </w:pPr>
      <w:r>
        <w:rPr>
          <w:rFonts w:ascii="仿宋_GB2312" w:hAnsi="仿宋_GB2312" w:cs="仿宋_GB2312" w:eastAsia="仿宋_GB2312"/>
          <w:sz w:val="15"/>
          <w:b/>
        </w:rPr>
        <w:t>陕西中仪项目管理有限公司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2026年机关单位房屋租赁项目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SXZY-2026-ZC-1153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2026年机关单位房屋租赁项目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租赁房屋位于西安市雁塔区东仪路3号东仪厂院内的12号办公楼，建筑结构为地上四层，办公面积约4021㎡；该房屋租赁用于综合管理科、法规宣传科、环境卫生管理科、园林绿化管理科、执法督导科、效能监察科、办公室等科室部门的日常办公用房，需满足的要求:满足各科室进行城市管理活动办公所需场所，其他相关服务符合国家、省、市（行业）强制性标准及采购人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中重大税收违法失信主体名单的供应商，不得为“信用中国”网站中列入失信被执行人的供应商，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3、非联合体协商声明：提交非联合体形式参加本项目协商的声明函。供应商需在项目电子化交易系统中按要求上传相应证明文件并进行电子签章。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西安市雁塔区城市管理和综合执法局经办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029-88242103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采购包1：3,283,100.00元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采购包1：3,283,100.00元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代理服务费收费标准：参照《招标代理服务收费管理暂行办法》和《关于招标代理服务收费有关问题的通知》的有关规定执行。成交单位在领取成交通知书前，须向采购代理机构一次性支付代理服务费。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合格（符合国家（行业）强制性标准及采购人要求）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租赁房屋位于西安市雁塔区东仪路3号东仪厂院内的12号办公楼，建筑结构为地上四层，办公面积约4021㎡；该房屋租赁用于综合管理科、法规宣传科、环境卫生管理科、园林绿化管理科、执法督导科、效能监察科、办公室等科室部门的日常办公用房，需满足的要求:满足各科室进行城市管理活动办公所需场所，其他相关服务符合国家、省、市（行业）强制性标准及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3,283,100.00</w:t>
      </w:r>
    </w:p>
    <w:p>
      <w:pPr>
        <w:pStyle w:val="null3"/>
      </w:pPr>
      <w:r>
        <w:rPr>
          <w:rFonts w:ascii="仿宋_GB2312" w:hAnsi="仿宋_GB2312" w:cs="仿宋_GB2312" w:eastAsia="仿宋_GB2312"/>
        </w:rPr>
        <w:t>采购包最高限价（元）: 3,283,100.00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机关单位房屋租赁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3,283,100.00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标的名称：机关单位房屋租赁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一、服务内容及要求</w:t>
            </w:r>
          </w:p>
          <w:p>
            <w:pPr>
              <w:pStyle w:val="null3"/>
              <w:ind w:firstLine="200"/>
            </w:pPr>
            <w:r>
              <w:rPr>
                <w:rFonts w:ascii="仿宋_GB2312" w:hAnsi="仿宋_GB2312" w:cs="仿宋_GB2312" w:eastAsia="仿宋_GB2312"/>
              </w:rPr>
              <w:t>1.1服务内容</w:t>
            </w:r>
          </w:p>
          <w:p>
            <w:pPr>
              <w:pStyle w:val="null3"/>
              <w:ind w:firstLine="200"/>
            </w:pPr>
            <w:r>
              <w:rPr>
                <w:rFonts w:ascii="仿宋_GB2312" w:hAnsi="仿宋_GB2312" w:cs="仿宋_GB2312" w:eastAsia="仿宋_GB2312"/>
              </w:rPr>
              <w:t>（1）提供标准用水、用电、等配套设施，按规范提供生活垃圾处理（垃圾清运费用除外）等服务。</w:t>
            </w:r>
          </w:p>
          <w:p>
            <w:pPr>
              <w:pStyle w:val="null3"/>
              <w:ind w:firstLine="200"/>
            </w:pPr>
            <w:r>
              <w:rPr>
                <w:rFonts w:ascii="仿宋_GB2312" w:hAnsi="仿宋_GB2312" w:cs="仿宋_GB2312" w:eastAsia="仿宋_GB2312"/>
              </w:rPr>
              <w:t>（2）负责房屋主体与框架的维修，不包含装修部分。</w:t>
            </w:r>
          </w:p>
          <w:p>
            <w:pPr>
              <w:pStyle w:val="null3"/>
              <w:ind w:firstLine="200"/>
            </w:pPr>
            <w:r>
              <w:rPr>
                <w:rFonts w:ascii="仿宋_GB2312" w:hAnsi="仿宋_GB2312" w:cs="仿宋_GB2312" w:eastAsia="仿宋_GB2312"/>
              </w:rPr>
              <w:t>（3）负责协调租赁房屋周边相关事宜。</w:t>
            </w:r>
          </w:p>
          <w:p>
            <w:pPr>
              <w:pStyle w:val="null3"/>
              <w:ind w:firstLine="200"/>
            </w:pPr>
            <w:r>
              <w:rPr>
                <w:rFonts w:ascii="仿宋_GB2312" w:hAnsi="仿宋_GB2312" w:cs="仿宋_GB2312" w:eastAsia="仿宋_GB2312"/>
              </w:rPr>
              <w:t>（4）水、电、气配套设施完善，能够满足日常办公需求。</w:t>
            </w:r>
          </w:p>
          <w:p>
            <w:pPr>
              <w:pStyle w:val="null3"/>
              <w:ind w:firstLine="200"/>
            </w:pPr>
            <w:r>
              <w:rPr>
                <w:rFonts w:ascii="仿宋_GB2312" w:hAnsi="仿宋_GB2312" w:cs="仿宋_GB2312" w:eastAsia="仿宋_GB2312"/>
              </w:rPr>
              <w:t>1.2服务要求：</w:t>
            </w:r>
          </w:p>
          <w:p>
            <w:pPr>
              <w:pStyle w:val="null3"/>
              <w:ind w:firstLine="200"/>
            </w:pPr>
            <w:r>
              <w:rPr>
                <w:rFonts w:ascii="仿宋_GB2312" w:hAnsi="仿宋_GB2312" w:cs="仿宋_GB2312" w:eastAsia="仿宋_GB2312"/>
              </w:rPr>
              <w:t>（1）服务方须指派专属人员与采购人联系服务事宜，服务响应时间应根据采购人实际安排随时调整。</w:t>
            </w:r>
          </w:p>
          <w:p>
            <w:pPr>
              <w:pStyle w:val="null3"/>
              <w:ind w:firstLine="200"/>
            </w:pPr>
            <w:r>
              <w:rPr>
                <w:rFonts w:ascii="仿宋_GB2312" w:hAnsi="仿宋_GB2312" w:cs="仿宋_GB2312" w:eastAsia="仿宋_GB2312"/>
              </w:rPr>
              <w:t>（2）办公区范围内的停车场、卫生间、绿化区等所有属于本次采购范畴的区域管理权需交由采购人实行统一管理；</w:t>
            </w:r>
          </w:p>
          <w:p>
            <w:pPr>
              <w:pStyle w:val="null3"/>
              <w:ind w:firstLine="200"/>
            </w:pPr>
            <w:r>
              <w:rPr>
                <w:rFonts w:ascii="仿宋_GB2312" w:hAnsi="仿宋_GB2312" w:cs="仿宋_GB2312" w:eastAsia="仿宋_GB2312"/>
              </w:rPr>
              <w:t>（3）办公区域的基本工作保障服务人员（保洁、保安等）由采购人派驻，如有需要服务方配合办公所需用水、用电、等配套设施的维修保养，服务方必须无条件配合，且服务方所有人员必须服从采购人管理和要求，未经采购人同意，不得擅自靠近或者进入其他未经许可的办公区域；</w:t>
            </w:r>
          </w:p>
          <w:p>
            <w:pPr>
              <w:pStyle w:val="null3"/>
              <w:ind w:firstLine="200"/>
            </w:pPr>
            <w:r>
              <w:rPr>
                <w:rFonts w:ascii="仿宋_GB2312" w:hAnsi="仿宋_GB2312" w:cs="仿宋_GB2312" w:eastAsia="仿宋_GB2312"/>
              </w:rPr>
              <w:t>（4）所有办公所需用水、用电、等配套设施的维修保养均为服务方上门服务，由此产生的一切费用均由服务方承担。</w:t>
            </w:r>
          </w:p>
          <w:p>
            <w:pPr>
              <w:pStyle w:val="null3"/>
              <w:ind w:firstLine="200"/>
            </w:pPr>
            <w:r>
              <w:rPr>
                <w:rFonts w:ascii="仿宋_GB2312" w:hAnsi="仿宋_GB2312" w:cs="仿宋_GB2312" w:eastAsia="仿宋_GB2312"/>
              </w:rPr>
              <w:t>（5）服务过程中，服务方人员应严格遵守各种管理规定及规章制度，做到安全文明；如发生工伤及意外事故由服务方单位负责。</w:t>
            </w:r>
          </w:p>
          <w:p>
            <w:pPr>
              <w:pStyle w:val="null3"/>
              <w:ind w:firstLine="200"/>
            </w:pPr>
            <w:r>
              <w:rPr>
                <w:rFonts w:ascii="仿宋_GB2312" w:hAnsi="仿宋_GB2312" w:cs="仿宋_GB2312" w:eastAsia="仿宋_GB2312"/>
              </w:rPr>
              <w:t>（6）服务方派遣的服务人员对于在工作中获悉的一切政府工作的信息应严格保守秘密，不得泄露；对于违反者，给采购人单位造成不良社会影响的，或给采购人单位造成损失的，由服务方承担赔偿责任。</w:t>
            </w:r>
          </w:p>
          <w:p>
            <w:pPr>
              <w:pStyle w:val="null3"/>
              <w:ind w:firstLine="200"/>
            </w:pPr>
            <w:r>
              <w:rPr>
                <w:rFonts w:ascii="仿宋_GB2312" w:hAnsi="仿宋_GB2312" w:cs="仿宋_GB2312" w:eastAsia="仿宋_GB2312"/>
              </w:rPr>
              <w:t>（7）严格按照国家、陕西省有关规定及采购人要求进行服务，不得随意更改或者变换服务内容，每项服务内容实施前应事先取得采购人的落实后方可实施。</w:t>
            </w:r>
          </w:p>
          <w:p>
            <w:pPr>
              <w:pStyle w:val="null3"/>
              <w:ind w:firstLine="200"/>
            </w:pPr>
            <w:r>
              <w:rPr>
                <w:rFonts w:ascii="仿宋_GB2312" w:hAnsi="仿宋_GB2312" w:cs="仿宋_GB2312" w:eastAsia="仿宋_GB2312"/>
              </w:rPr>
              <w:t>（8）人员配置要求：服务方按项目服务要求及特性，自行组织实施与管理，相关人员经过严格培训，能够胜任项目工作，保证房屋租赁期间日常房屋条件满足日常办公活动需求。</w:t>
            </w:r>
          </w:p>
          <w:p>
            <w:pPr>
              <w:pStyle w:val="null3"/>
              <w:ind w:firstLine="200"/>
            </w:pPr>
            <w:r>
              <w:rPr>
                <w:rFonts w:ascii="仿宋_GB2312" w:hAnsi="仿宋_GB2312" w:cs="仿宋_GB2312" w:eastAsia="仿宋_GB2312"/>
              </w:rPr>
              <w:t>（9）设施设备要求：服务方根据项目特性，自行配置投入有利于完成本项目服务各类设施设备（不限于水、电、气配套设施完善、专业设备、辅助设备等），保证房屋租赁期间日常房屋条件满足日常办公活动需求。</w:t>
            </w:r>
          </w:p>
          <w:p>
            <w:pPr>
              <w:pStyle w:val="null3"/>
              <w:ind w:firstLine="200"/>
            </w:pPr>
            <w:r>
              <w:rPr>
                <w:rFonts w:ascii="仿宋_GB2312" w:hAnsi="仿宋_GB2312" w:cs="仿宋_GB2312" w:eastAsia="仿宋_GB2312"/>
              </w:rPr>
              <w:t>（10）本次采购预算对应1年的服务费用，每1年期满后，经采购人确认，服务方的服务内容和质量符合要求，且双方无异议，可自动续签下一时段合同，除续签期间的支付方式由采购人根据政策（按月或季度或年度）自由调节，其他合同内约定的内容不变，如服务方的服务内容或服务质量不符合采购人要求，采购人有权随时终止合同，服务商应无条件退出，且无权追究采购人责任。</w:t>
            </w:r>
          </w:p>
          <w:p>
            <w:pPr>
              <w:pStyle w:val="null3"/>
              <w:ind w:firstLine="200"/>
            </w:pPr>
            <w:r>
              <w:rPr>
                <w:rFonts w:ascii="仿宋_GB2312" w:hAnsi="仿宋_GB2312" w:cs="仿宋_GB2312" w:eastAsia="仿宋_GB2312"/>
              </w:rPr>
              <w:t>1.3质量标准及要求</w:t>
            </w:r>
          </w:p>
          <w:p>
            <w:pPr>
              <w:pStyle w:val="null3"/>
              <w:ind w:firstLine="200"/>
            </w:pPr>
            <w:r>
              <w:rPr>
                <w:rFonts w:ascii="仿宋_GB2312" w:hAnsi="仿宋_GB2312" w:cs="仿宋_GB2312" w:eastAsia="仿宋_GB2312"/>
              </w:rPr>
              <w:t>（1）适用的法律、行政法规及部门规章；</w:t>
            </w:r>
          </w:p>
          <w:p>
            <w:pPr>
              <w:pStyle w:val="null3"/>
              <w:ind w:firstLine="200"/>
            </w:pPr>
            <w:r>
              <w:rPr>
                <w:rFonts w:ascii="仿宋_GB2312" w:hAnsi="仿宋_GB2312" w:cs="仿宋_GB2312" w:eastAsia="仿宋_GB2312"/>
              </w:rPr>
              <w:t>（2）各项服务符合国家（行业）强制性标准及采购人要求的合格标准。</w:t>
            </w:r>
          </w:p>
          <w:p>
            <w:pPr>
              <w:pStyle w:val="null3"/>
              <w:ind w:firstLine="200"/>
            </w:pPr>
            <w:r>
              <w:rPr>
                <w:rFonts w:ascii="仿宋_GB2312" w:hAnsi="仿宋_GB2312" w:cs="仿宋_GB2312" w:eastAsia="仿宋_GB2312"/>
              </w:rPr>
              <w:t>（3）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pPr>
            <w:r>
              <w:rPr>
                <w:rFonts w:ascii="仿宋_GB2312" w:hAnsi="仿宋_GB2312" w:cs="仿宋_GB2312" w:eastAsia="仿宋_GB2312"/>
                <w:b/>
              </w:rPr>
              <w:t>二、其他要求或说明</w:t>
            </w:r>
          </w:p>
          <w:p>
            <w:pPr>
              <w:pStyle w:val="null3"/>
            </w:pPr>
            <w:r>
              <w:rPr>
                <w:rFonts w:ascii="仿宋_GB2312" w:hAnsi="仿宋_GB2312" w:cs="仿宋_GB2312" w:eastAsia="仿宋_GB2312"/>
              </w:rPr>
              <w:t>本项目所属行业为:</w:t>
            </w:r>
            <w:r>
              <w:rPr>
                <w:rFonts w:ascii="仿宋_GB2312" w:hAnsi="仿宋_GB2312" w:cs="仿宋_GB2312" w:eastAsia="仿宋_GB2312"/>
                <w:b/>
              </w:rPr>
              <w:t>租赁和商务服务业</w:t>
            </w:r>
            <w:r>
              <w:rPr>
                <w:rFonts w:ascii="仿宋_GB2312" w:hAnsi="仿宋_GB2312" w:cs="仿宋_GB2312" w:eastAsia="仿宋_GB2312"/>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服务方按项目服务要求及特性，自行组织实施与管理，相关人员经过严格培训，能够胜任项目工作，保证房屋租赁期间日常房屋条件满足日常办公活动需求。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服务方根据项目特性，自行配置投入有利于完成本项目服务各类设施设备（不限于水、电、气配套设施完善、专业设备、辅助设备等），保证房屋租赁期间日常房屋条件满足日常办公活动需求。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西安市雁塔区东仪路3号东仪厂院内的12号办公楼</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按照国家（行业）强制性标准及合同约定对成交方所供服务或货物（产品）进行检查或验收；房屋条件或相关服务无法达到采购要求，或在执行中出现采购人无法容忍的缺陷，均视为不合格，服务方须在采购人规定的期限内完成整改；若服务方在接受检查整改后，仍不能提供符合采购要求的合格服务或在服务过程中出现弄虚作假行为或发生重大安全事故，采购人有权按违约予以撤项，由此产生的一切不利后果由服务方负责。</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详见合同相应条款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范围：2026年机关单位房屋租赁项目。（二）服务要求：完全响应并满足采购文件要求。（三）服务标准：合格（符合国家（行业）强制性标准及采购人要求）。（四）供应商所报的价格应考虑到可能发生的所有与完成本项目相关服务及履行合同义务有关的一切费用（含税），任何有选择的报价将不予接受，按无效协商处理。（五）、成交供应商在领取成交通知书前，需向采购代理机构提交加盖公章的纸质版响应文件三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 6.供应商应提供健全的财务会计制度的证明材料：关于财务会计制度的证明材料①和②任选其一： ①可提供2024或2025年度经审计的具有赋码查验功能的财务报告（包含审计报告和审计报告中所涉及的财务报表和报表附注）； ②可提供截至响应文件提交截止日前六个月内基本账户开户银行出具的资信证明（附基本存款账户信息）； 注：供应商注册时间截至响应文件提交截止日不足一年的，可提供成立后任意时段的资产负债表。供应商需在项目电子化交易系统中按要求上传相应证明文件并进行电子签章。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中重大税收违法失信主体名单的供应商，不得为“信用中国”网站中列入失信被执行人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非联合体协商声明</w:t>
            </w:r>
          </w:p>
        </w:tc>
        <w:tc>
          <w:tcPr>
            <w:tcW w:type="dxa" w:w="3322"/>
          </w:tcPr>
          <w:p>
            <w:pPr>
              <w:pStyle w:val="null3"/>
            </w:pPr>
            <w:r>
              <w:rPr>
                <w:rFonts w:ascii="仿宋_GB2312" w:hAnsi="仿宋_GB2312" w:cs="仿宋_GB2312" w:eastAsia="仿宋_GB2312"/>
              </w:rPr>
              <w:t>提交非联合体形式参加本项目协商的声明函。供应商需在项目电子化交易系统中按要求上传相应证明文件并进行电子签章。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商务响应偏离表 技术（服务）方案说明书 供应商承诺书 合同条款响应偏离表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1.在协商过程中，出现下列情形之一的，协商小组应当启动异常低价投标（响应）审查程序：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④协商小组会基于专业判断，认为供应商报价过低，有可能影响产品质量或者不能诚信履约的其他情形。 2.协商小组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协商小组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协商小组应当将其作为无效投标（响应）处理。 4.采购人、采购代理机构应当为协商小组在评审现场及时获取同类项目中标（成交）价格、类似产品市场价格水平、行业人工费用标准、国家有关部门指导行业协会发布的行业平均成本等相关信息资料提供便利。协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响应文件封面 商务响应偏离表 其他资料 技术（服务）方案说明书 资格证明材料 标的清单 报价表 供应商承诺书 响应函 合同条款响应偏离表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详见附件：技术（服务）方案说明书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