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版本号：YCXM-202601020260424001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机关食堂食材配送服务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YCXM-2026010</w:t>
      </w:r>
      <w:r>
        <w:br/>
      </w:r>
      <w:r>
        <w:br/>
      </w:r>
      <w:r>
        <w:br/>
      </w:r>
    </w:p>
    <w:p>
      <w:pPr>
        <w:pStyle w:val="null3"/>
        <w:jc w:val="center"/>
        <w:outlineLvl w:val="2"/>
      </w:pPr>
      <w:r>
        <w:rPr>
          <w:rFonts w:ascii="仿宋_GB2312" w:hAnsi="仿宋_GB2312" w:cs="仿宋_GB2312" w:eastAsia="仿宋_GB2312"/>
          <w:sz w:val="28"/>
          <w:b/>
        </w:rPr>
        <w:t>西安市雁塔区等驾坡街道办事处</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西安市雁塔区等驾坡街道办事处</w:t>
      </w:r>
      <w:r>
        <w:rPr>
          <w:rFonts w:ascii="仿宋_GB2312" w:hAnsi="仿宋_GB2312" w:cs="仿宋_GB2312" w:eastAsia="仿宋_GB2312"/>
        </w:rPr>
        <w:t>委托，拟对</w:t>
      </w:r>
      <w:r>
        <w:rPr>
          <w:rFonts w:ascii="仿宋_GB2312" w:hAnsi="仿宋_GB2312" w:cs="仿宋_GB2312" w:eastAsia="仿宋_GB2312"/>
        </w:rPr>
        <w:t>机关食堂食材配送服务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机关食堂食材配送服务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西安市雁塔区等驾坡街道办事处机关食堂规范、高效运行，进一步规范食堂食材采购管理，全面提升食材供应品质与食品安全保障水平，着力打造绿色健康食堂，现拟通过公开招标方式，择优选择资质齐全、管理规范、货源新鲜、服务专业的投标人，承担本单位食堂食材的供应、配送、运输及相关售后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采购包1（机关食堂食材配送服务）：属于专门面向中小企业采购。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授权代表本单位证明：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2、资质：供应商具有有效的《食品经营许可证》或《食品经营者备案表》，供应商为代理商的须提供《食品经营许可证》或《预包装食品经营者备案表》。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西安市雁塔区等驾坡街道办事处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西安市长鸣路8号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029-82611223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17791807803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原《国家计委关于印发招标代理服务收费管理暂行办法的通知》（计价格【2002】1980号）和国家发改委办公厅颁发的《关于招标代理服务收费有关问题的通知》（发改办价格【2003】857号）文件规定标准计取。以上费用在中标通知书发出前由中标人一次性全额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西安市雁塔区等驾坡街道办事处</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西安市雁塔区等驾坡街道办事处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西安市雁塔区等驾坡街道办事处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合同文本、合同附件、磋商文件、磋商响应文件。 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联系人：丁工</w:t>
      </w:r>
    </w:p>
    <w:p>
      <w:pPr>
        <w:pStyle w:val="null3"/>
      </w:pPr>
      <w:r>
        <w:rPr>
          <w:rFonts w:ascii="仿宋_GB2312" w:hAnsi="仿宋_GB2312" w:cs="仿宋_GB2312" w:eastAsia="仿宋_GB2312"/>
        </w:rPr>
        <w:t>联系电话：17791807803</w:t>
      </w:r>
    </w:p>
    <w:p>
      <w:pPr>
        <w:pStyle w:val="null3"/>
      </w:pPr>
      <w:r>
        <w:rPr>
          <w:rFonts w:ascii="仿宋_GB2312" w:hAnsi="仿宋_GB2312" w:cs="仿宋_GB2312" w:eastAsia="仿宋_GB2312"/>
        </w:rPr>
        <w:t>地址：西安市雁塔区雁展路莱安中心T7栋10层1006室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西安市雁塔区等驾坡街道办事处机关食堂规范、高效运行，进一步规范食堂食材采购管理，全面提升食材供应品质与食品安全保障水平，着力打造绿色健康食堂，现拟通过公开招标方式，择优选择资质齐全、管理规范、货源新鲜、服务专业的投标人，承担本单位食堂食材的供应、配送、运输及相关售后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米面油：</w:t>
            </w:r>
          </w:p>
          <w:p>
            <w:pPr>
              <w:pStyle w:val="null3"/>
            </w:pPr>
            <w:r>
              <w:rPr>
                <w:rFonts w:ascii="仿宋_GB2312" w:hAnsi="仿宋_GB2312" w:cs="仿宋_GB2312" w:eastAsia="仿宋_GB2312"/>
                <w:sz w:val="20"/>
              </w:rPr>
              <w:t>大米（GB/T 1354-2018），等级：一级，当年新米，无陈化粮。质量标准：具有大米固有色泽与香味，无污染、虫害，色泽、气味、口味正常；无异味、霉味，无虫蛀、结块、挂丝或杂质等，执行国家（GB/T 1354-2018）质量标准。指标：杂质≤0.25%、不完善粒≤3.0%、黄米粒≤0.5%、碎米≤15%、水分≤14.5%。感官：颗粒饱满、色泽光洁、无异味、无霉变、无虫蛀。标识要求：有生产许可证号，注册商标，执行标准：标明产品名称、净含量、质量等级、生产企业名称、电话、地址、生产日期、保质期及营养成分表。供货时剩余保质期不少于标注保质期三分之二。面粉（GB/T 1355-2021），等级：一级及以上小麦粉。小麦面粉执行国家（GB/T 1355-2021）质量标准。高筋小麦粉执行国家（GB/T 8607-2024）标准。精制粉执行国家（GB/T 1355-2021）质量标准。包装要求：一次性包装，应符合《粮食销售包装》（GB/T 17109-2008）要求,包装袋清洁无污渍、无破损、无渗漏。标识要求：有生产许可证号，注册商标，执行标准：标明产品名称、净含量、质量等级、生产企业名称、电话、地址、生产日期、保质期及营养成分表。供货时剩余保质期不少于标注保质期三分之二。感官：粉质细腻、无结块、无异味、无杂质、无霉变，指标：水分≤14.0%，灰分≤0.75%（一级）；食用油（GB 2716-2018），等级：一级压榨，非转基因。质量标准：具有正常植物油的色泽、透明度、气味和滋味，无焦臭、酸败及其它异味。大豆油执行国家（GB/T 1535-2017）质量标准，菜籽油必须符合国家（GB/T 1536-2021）标准。包装要求：一次性包装，应符合GB 7718-2011\GB 28050-2011要求，包装桶清洁透明、无污渍，无破损、无渗漏，符合国家食品卫生标准的规定。标识要求：有生产许可证号，注册商标，执行标准；标明产品名称、净含量、生产企业名称、电话、地址、 生产日期、保质期及营养成分表。供货时剩余保质期不少于标注保质期三分之二。感官：清澈透明、无浑浊、无悬浮物、无异味、无沉淀物，指标：溶剂残留未检出，酸价、过氧化值达标。</w:t>
            </w:r>
          </w:p>
          <w:p>
            <w:pPr>
              <w:pStyle w:val="null3"/>
            </w:pPr>
            <w:r>
              <w:rPr>
                <w:rFonts w:ascii="仿宋_GB2312" w:hAnsi="仿宋_GB2312" w:cs="仿宋_GB2312" w:eastAsia="仿宋_GB2312"/>
                <w:sz w:val="20"/>
              </w:rPr>
              <w:t>蔬菜：</w:t>
            </w:r>
          </w:p>
          <w:p>
            <w:pPr>
              <w:pStyle w:val="null3"/>
            </w:pPr>
            <w:r>
              <w:rPr>
                <w:rFonts w:ascii="仿宋_GB2312" w:hAnsi="仿宋_GB2312" w:cs="仿宋_GB2312" w:eastAsia="仿宋_GB2312"/>
                <w:sz w:val="20"/>
              </w:rPr>
              <w:t>验收标准（GB 2763-2026）新鲜度：当日、次日采收，无萎蔫、腐烂、压伤、病虫害、黄叶；农残：快速检测合格，提供农残报告，无禁用农药。感官：叶菜鲜亮、根茎坚实、瓜果饱满、无空心、霉变、异味，净菜要求：去根、去老叶、去泥，无异物，净重交货，包装：透气保鲜，无破损，标识品名、产地、采收日期。</w:t>
            </w:r>
          </w:p>
          <w:p>
            <w:pPr>
              <w:pStyle w:val="null3"/>
            </w:pPr>
            <w:r>
              <w:rPr>
                <w:rFonts w:ascii="仿宋_GB2312" w:hAnsi="仿宋_GB2312" w:cs="仿宋_GB2312" w:eastAsia="仿宋_GB2312"/>
                <w:sz w:val="20"/>
              </w:rPr>
              <w:t>水果：</w:t>
            </w:r>
          </w:p>
          <w:p>
            <w:pPr>
              <w:pStyle w:val="null3"/>
            </w:pPr>
            <w:r>
              <w:rPr>
                <w:rFonts w:ascii="仿宋_GB2312" w:hAnsi="仿宋_GB2312" w:cs="仿宋_GB2312" w:eastAsia="仿宋_GB2312"/>
                <w:sz w:val="20"/>
              </w:rPr>
              <w:t>外观果形正常、无严重畸形色泽自然，符合该品种成熟色、无碰压伤、冻伤、裂口、腐烂斑，成熟适中，不生青、不过熟软烂，果蒂/果柄新鲜，不干枯脱落，果肉紧实，有弹性，卫生安全，无虫蛀、无病斑、无霉点，无药水味、发酵味、异味表面干净，无明显残留污物。</w:t>
            </w:r>
          </w:p>
          <w:p>
            <w:pPr>
              <w:pStyle w:val="null3"/>
            </w:pPr>
            <w:r>
              <w:rPr>
                <w:rFonts w:ascii="仿宋_GB2312" w:hAnsi="仿宋_GB2312" w:cs="仿宋_GB2312" w:eastAsia="仿宋_GB2312"/>
                <w:sz w:val="20"/>
              </w:rPr>
              <w:t>豆制品：</w:t>
            </w:r>
          </w:p>
          <w:p>
            <w:pPr>
              <w:pStyle w:val="null3"/>
            </w:pPr>
            <w:r>
              <w:rPr>
                <w:rFonts w:ascii="仿宋_GB2312" w:hAnsi="仿宋_GB2312" w:cs="仿宋_GB2312" w:eastAsia="仿宋_GB2312"/>
                <w:sz w:val="20"/>
              </w:rPr>
              <w:t>必须符合国家标准 GB2712-2014。供货产品到货时该产品的有效期不得低于该产品整体有效期的三分之二，不得提供临期产品。</w:t>
            </w:r>
          </w:p>
          <w:p>
            <w:pPr>
              <w:pStyle w:val="null3"/>
            </w:pPr>
            <w:r>
              <w:rPr>
                <w:rFonts w:ascii="仿宋_GB2312" w:hAnsi="仿宋_GB2312" w:cs="仿宋_GB2312" w:eastAsia="仿宋_GB2312"/>
                <w:sz w:val="20"/>
              </w:rPr>
              <w:t>肉类：</w:t>
            </w:r>
          </w:p>
          <w:p>
            <w:pPr>
              <w:pStyle w:val="null3"/>
            </w:pPr>
            <w:r>
              <w:rPr>
                <w:rFonts w:ascii="仿宋_GB2312" w:hAnsi="仿宋_GB2312" w:cs="仿宋_GB2312" w:eastAsia="仿宋_GB2312"/>
                <w:sz w:val="20"/>
              </w:rPr>
              <w:t>（猪/牛/羊/禽，强制检疫），通用要求来源：定点屠宰场，两证两章齐全（检疫合格证明+肉品品质证明；检疫章+肉品章），冷链：全程0–4℃冷链运输，无解冻、无二次污染。猪肉应满足 GB/T 9959.3-2019、GB2707-2016 ，牛肉应满足GB/T 17238-2022，羊肉应满足GB/T 9961-2008，鸡肉应满足GB 16869-2005标准。产品为在政府规定的屠宰场所屠杀的生鲜禽畜肉，产品应经检验、检疫合格，能提供相应的检验、检疫合格证明，提供当地卫生主管部门出具的动物检疫合格证明、提供当地政府部门定点屠宰厂“瘦肉精”残留检测合格证明和肉品品质检验合格证。感官：肌肉鲜红有光泽、脂肪洁白/微黄、纤维清晰、弹性好（指压快速回弹）、无注水、无淤血、无异味、无寄生虫，排酸：猪肉必须排酸处理，细分要求，猪肉：无淋巴结、无碎骨、无多余刀口，分割规范，牛羊肉：清真需提供清真证明，无注水、无异味，禽肉：表皮完整、无淤血、无异味、检疫合格。</w:t>
            </w:r>
          </w:p>
          <w:p>
            <w:pPr>
              <w:pStyle w:val="null3"/>
            </w:pPr>
            <w:r>
              <w:rPr>
                <w:rFonts w:ascii="仿宋_GB2312" w:hAnsi="仿宋_GB2312" w:cs="仿宋_GB2312" w:eastAsia="仿宋_GB2312"/>
                <w:sz w:val="20"/>
              </w:rPr>
              <w:t>水产：</w:t>
            </w:r>
          </w:p>
          <w:p>
            <w:pPr>
              <w:pStyle w:val="null3"/>
            </w:pPr>
            <w:r>
              <w:rPr>
                <w:rFonts w:ascii="仿宋_GB2312" w:hAnsi="仿宋_GB2312" w:cs="仿宋_GB2312" w:eastAsia="仿宋_GB2312"/>
                <w:sz w:val="20"/>
              </w:rPr>
              <w:t>鲜活水产（鱼/虾），温度：暂养/运输水温 10–15℃（按品种微调）水质：符合 GB 11607-1989，溶氧≥5mg/L，无异味、无浑浊，包装：双层防水袋+增氧袋/氧气瓶；泡沫箱加固防漏，运输：避光、防震、控温；严禁混装异味/有毒物品。验收：游动活跃、触须完整；</w:t>
            </w:r>
          </w:p>
          <w:p>
            <w:pPr>
              <w:pStyle w:val="null3"/>
            </w:pPr>
            <w:r>
              <w:rPr>
                <w:rFonts w:ascii="仿宋_GB2312" w:hAnsi="仿宋_GB2312" w:cs="仿宋_GB2312" w:eastAsia="仿宋_GB2312"/>
                <w:sz w:val="20"/>
              </w:rPr>
              <w:t>冷冻水产（冻鱼/冻虾/冻品），温度：全程 ≤-18℃，中心温度≤-15℃；包装：真空/密封袋+保温袋+加厚泡沫箱；制冷：冰袋+干冰（长途/高温）；每1kg配0.3kg干冰（顶部放置）；时效：常温30℃以下，72小时内中心温度≤0℃；验收：无解冻、无风干、无异味、包装完好。</w:t>
            </w:r>
          </w:p>
          <w:p>
            <w:pPr>
              <w:pStyle w:val="null3"/>
            </w:pPr>
            <w:r>
              <w:rPr>
                <w:rFonts w:ascii="仿宋_GB2312" w:hAnsi="仿宋_GB2312" w:cs="仿宋_GB2312" w:eastAsia="仿宋_GB2312"/>
                <w:sz w:val="20"/>
              </w:rPr>
              <w:t>调料/干货：</w:t>
            </w:r>
          </w:p>
          <w:p>
            <w:pPr>
              <w:pStyle w:val="null3"/>
            </w:pPr>
            <w:r>
              <w:rPr>
                <w:rFonts w:ascii="仿宋_GB2312" w:hAnsi="仿宋_GB2312" w:cs="仿宋_GB2312" w:eastAsia="仿宋_GB2312"/>
                <w:sz w:val="20"/>
              </w:rPr>
              <w:t>标准（GB 2760-2024/GB 7718-2011），资质：预包装食品，SC标识、生产日期、保质期、配料表齐全，感官：干燥无潮、无霉变、无虫蛀、无异味、无杂质、无结块，添加剂：符合国标，无非法添加，提供检验报告，保质期：验收时剩余保质期不少于标注保质期三分之二，临期品拒收。拒绝三无产品。</w:t>
            </w:r>
          </w:p>
          <w:p>
            <w:pPr>
              <w:pStyle w:val="null3"/>
            </w:pPr>
            <w:r>
              <w:rPr>
                <w:rFonts w:ascii="仿宋_GB2312" w:hAnsi="仿宋_GB2312" w:cs="仿宋_GB2312" w:eastAsia="仿宋_GB2312"/>
                <w:sz w:val="20"/>
              </w:rPr>
              <w:t>鸡蛋：</w:t>
            </w:r>
          </w:p>
          <w:p>
            <w:pPr>
              <w:pStyle w:val="null3"/>
            </w:pPr>
            <w:r>
              <w:rPr>
                <w:rFonts w:ascii="仿宋_GB2312" w:hAnsi="仿宋_GB2312" w:cs="仿宋_GB2312" w:eastAsia="仿宋_GB2312"/>
                <w:sz w:val="20"/>
              </w:rPr>
              <w:t>标准：GB2749-2015。鸡蛋为无疫、无残留（兽药、饲料）、无违禁添加物、无异型蛋、脏蛋、血蛋。色泽鲜亮，蛋壳清洁完整无裂缝；确保为三日内新鲜鸡蛋。兽药残留合格（提供第三方检测报告），具有《食品生产许可证》或《食品经营许可证》，并提供其生产企业有效的《动物防疫条件合格证》。</w:t>
            </w:r>
          </w:p>
          <w:p>
            <w:pPr>
              <w:pStyle w:val="null3"/>
            </w:pPr>
            <w:r>
              <w:rPr>
                <w:rFonts w:ascii="仿宋_GB2312" w:hAnsi="仿宋_GB2312" w:cs="仿宋_GB2312" w:eastAsia="仿宋_GB2312"/>
                <w:sz w:val="20"/>
              </w:rPr>
              <w:t>牛奶：</w:t>
            </w:r>
          </w:p>
          <w:p>
            <w:pPr>
              <w:pStyle w:val="null3"/>
            </w:pPr>
            <w:r>
              <w:rPr>
                <w:rFonts w:ascii="仿宋_GB2312" w:hAnsi="仿宋_GB2312" w:cs="仿宋_GB2312" w:eastAsia="仿宋_GB2312"/>
                <w:sz w:val="21"/>
              </w:rPr>
              <w:t>标准：GB25190。必须采用经超高温灭菌或巴式杀菌法等工序制得的纯牛奶或调味乳。其中纯牛奶：每100克牛奶中蛋白质含量≥2.9克，脂肪含量≥3.1克，非脂乳固体≥8.1克，保质期≤6个月；调制乳:标准：GB25191。每100克牛奶中蛋白质含量≥2.3克，脂肪含量≥2.5克，保质期≤6个月。（提供原奶生产厂家授权销售资质）标准根据配餐实际确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至少配备4人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具有完成项目相应的场地和车辆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西安市雁塔区等驾坡街道办事处</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方配送产品符合《中华人民共和国食品安全法》、国家法律法规规定的标准、食品卫生管理制度、甲方要求、磋商文件和乙方磋商响应文件所要求的技术标准。供货商将产品配送到达指定地点，将货物清单送至采购人，原材料验收由双方现场检验，对供应产品的质量无异议数量准确无误后，双方填写验收单并签字，各自留存，不合格货品当场拒收并记录。对于验收不合格的产品，供货商应及时进行统计补货，为此造成的损失及费用由供货方负责。供货商在接到食材质量问题反馈后1小时内响应，若问题食材需退换，应在2小时内完成换货补货送达，确保不影响正常使用。面对突发食材需求或供应中断，投标人需在1小时内启动紧急预案，2小时内完成紧急配送，确保采购单位正常运营不受影响。</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1.甲乙双方必须遵守合同并执行合同中的各项规定，保证合同的正常履行。 2.甲、乙双方因不可抗力不能履行合同时，应当及时通知对方，并在合理期内提供有关证明，双方可协商全部或部分免除违约方的责任。 3.乙方提供的货物存在质量问题，应及时予以改正。乙方未按照甲方要求改正或改正后仍不能满足甲方要求的，甲方有权拒绝支付合同款项并要求乙方承担因此给甲方造成的全部损失的（包括但不限于直接损失、间接损失及甲方因实现权利而产生的诉讼费、律师费、保全费等）；乙方承诺的或国家规定的质量保证期内（取两者中最长的期限），如经乙方两次维修或更换，货物仍不能达到合同约定的质量标准，甲方有权退货，乙方应退回全部货款，同时，乙方还须赔偿甲方因此遭受的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1、磋商时无需提供纸质响应文件，成交供应商在领取成交通知书时提供纸质响应文件两份，纸质版文件须是电子化交易平台系统生成的响应文件。 2、配送与验收要求： 供货商必须按照采购方要求的品种、数量、规格、质量准时提供配送服务，满足采购方使用需求，所有食材采购均以采购方通知为准，不得私自更换配送食品的种类，采购方有权根据实际需求量随时调整采购计划及供货时间段。特殊情况下的小批量的急用物资，供货方应予以满足解决。在配送过程中由于不可抗力因素(如恶劣天气导致的大雪封路，意外事故导致的道路堵塞等)而造成不能按时供货时，应第一时间通知采购方，由采购方按照食谱所需就近采购，供货商负责结算。时效：按约定时间送达，迟到率≤1%，应急：不合格品1小时内换货，紧急补货≤2小时。 验收：供货方配送产品符合《中华人民共和国食品安全法》、国家法律法规规定的标准、食品卫生管理制度、甲方要求、磋商文件和乙方磋商响应文件所要求的技术标准。供货商将产品配送到达指定地点，将货物清单送至采购人，原材料验收由双方现场检验，对供应产品的质量无异议数量准确无误后，双方填写验收单并签字，各自留存，不合格货品当场拒收并记录。对于验收不合格的产品，供货商应及时进行统计补货，为此造成的损失及费用由供货方负责。供货商在接到食材质量问题反馈后1小时内响应，若问题食材需退换，应在2小时内完成换货补货送达，确保不影响正常使用。面对突发食材需求或供应中断，投标人需在1小时内启动紧急预案，2小时内完成紧急配送，确保采购单位正常运营不受影响。 一旦发生食物中毒或疑似食物中毒事故，应及时提供留样样品，配合卫生监督机构进行调查处理工作，不得有留样样品而不提供或提供不真实的留样样品,影响或干扰事故的调查处理工作。 3、对服务商的业绩要求 有承担食堂食材供应配送服务同类项目经验的业绩企业优先。 4、进度要求 时效：按约定时间送达，迟到率≤1%，应急：不合格品1小时内换货，紧急补货≤2小时，验收：双人验收，核对品名、规格、数量、日期、质量、证件，不合格当场拒收并记录，追溯：一物一码，可查产地、检验、配送轨迹，损耗：配送损耗≤3%，超出部分由配送方承担。 5、考核与淘汰 季度复评质量、时效、服务、合规性，一票否决：出现农残超标、注水肉、过期品、食品安全事故，立即终止合作。 6、质量验收标准或规范 现行的国家标准或国家行政部门颁布的法律法规、规章制度等，是项目验收的另一个重要依据。没有国家标准的，可以参考行业标准。 米面油标准（核心国标+机关要求） 大米（GB/T 1354-2018） 小麦面粉（GB/T 1355-2021） 高筋小麦粉（GB/T 8607-2024） 包装要求（GB/T 17109-2008） 食用油（GB 2716-2018） 大豆油（GB/T 1535-2017） 菜籽油（GB/T 1536-2021） 包装要求（GB 7718-2011\GB 28050-2011） 蔬菜验收标准（GB 2763-2026） 豆制品（GB2712-2014） 肉类标准（猪/牛/羊/禽，强制检疫） 猪肉（GB/T 9959.3-2019、GB2707-2016） 牛肉（GB/T 17238-2022） 羊肉（GB/T 9961-2008） 鸡肉（GB 16869-2005） 鲜活水产（鱼/虾）水质：符合 GB 11607-1989 调料/干货标准（GB 2760-2024/GB 7718-2011） 鸡蛋（GB2749-2015） 牛奶（GB25190） 调制乳（GB25191） 7、违约责任 7.1甲乙双方必须遵守合同并执行合同中的各项规定，保证合同的正常履行。 7.2甲、乙双方因不可抗力不能履行合同时，应当及时通知对方，并在合理期内提供有关证明，双方可协商全部或部分免除违约方的责任。 7.3乙方提供的货物存在质量问题，应及时予以改正。乙方未按照甲方要求改正或改正后仍不能满足甲方要求的，甲方有权拒绝支付合同款项并要求乙方承担因此给甲方造成的全部损失的（包括但不限于直接损失、间接损失及甲方因实现权利而产生的诉讼费、律师费、保全费等）；乙方承诺的或国家规定的质量保证期内（取两者中最长的期限），如经乙方两次维修或更换，货物仍不能达到合同约定的质量标准，甲方有权退货，乙方应退回全部货款，同时，乙方还须赔偿甲方因此遭受的损失。 8、考核与淘汰： 季度复评：质量、时效、服务、合规性，一票否决：出现农残超标、注水肉、过期品、食品安全事故，立即终止合作。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供应商承诺.docx 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授权书、授权代表本单位证明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供应商具有有效的《食品经营许可证》或《食品经营者备案表》，供应商为代理商的须提供《食品经营许可证》或《预包装食品经营者备案表》。</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3.响应报价低于采购项目最高限价45%的，即投标(响应)报价&lt;采购项目最高限价×45%;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可不再重复提交。 三、供应商提交的相关证明材料，应当加盖供应商（法定名称）电子印章，在磋商小组要求的时间内通过项目电子化交易系统进行提交，否则提交的相关证明材料无效。 四、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应当将其作为无效响应处理。 说明：本项目报价形式为下浮率，异常低价是指（1-下浮率）%为出现异常低价情形</w:t>
            </w:r>
          </w:p>
        </w:tc>
        <w:tc>
          <w:tcPr>
            <w:tcW w:type="dxa" w:w="1661"/>
          </w:tcPr>
          <w:p>
            <w:pPr>
              <w:pStyle w:val="null3"/>
            </w:pPr>
            <w:r>
              <w:rPr>
                <w:rFonts w:ascii="仿宋_GB2312" w:hAnsi="仿宋_GB2312" w:cs="仿宋_GB2312" w:eastAsia="仿宋_GB2312"/>
              </w:rPr>
              <w:t>响应文件封面 供应商承诺.docx 中小企业声明函 残疾人福利性单位声明函 服务方案 合同草案条款偏离表.docx 标的清单 报价表 采购需求偏离表.docx 响应函 监狱企业的证明文件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磋商响应文件加盖供应商单位公章</w:t>
            </w:r>
          </w:p>
        </w:tc>
        <w:tc>
          <w:tcPr>
            <w:tcW w:type="dxa" w:w="1661"/>
          </w:tcPr>
          <w:p>
            <w:pPr>
              <w:pStyle w:val="null3"/>
            </w:pPr>
            <w:r>
              <w:rPr>
                <w:rFonts w:ascii="仿宋_GB2312" w:hAnsi="仿宋_GB2312" w:cs="仿宋_GB2312" w:eastAsia="仿宋_GB2312"/>
              </w:rPr>
              <w:t>响应文件封面 供应商承诺.docx 中小企业声明函 残疾人福利性单位声明函 服务方案 合同草案条款偏离表.docx 标的清单 采购需求偏离表.docx 响应函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w:t>
            </w:r>
          </w:p>
        </w:tc>
        <w:tc>
          <w:tcPr>
            <w:tcW w:type="dxa" w:w="3322"/>
          </w:tcPr>
          <w:p>
            <w:pPr>
              <w:pStyle w:val="null3"/>
            </w:pPr>
            <w:r>
              <w:rPr>
                <w:rFonts w:ascii="仿宋_GB2312" w:hAnsi="仿宋_GB2312" w:cs="仿宋_GB2312" w:eastAsia="仿宋_GB2312"/>
              </w:rPr>
              <w:t>磋商响应文件按磋商文件要求法定代表人（或负责人）或其授权代表签字</w:t>
            </w:r>
          </w:p>
        </w:tc>
        <w:tc>
          <w:tcPr>
            <w:tcW w:type="dxa" w:w="1661"/>
          </w:tcPr>
          <w:p>
            <w:pPr>
              <w:pStyle w:val="null3"/>
            </w:pPr>
            <w:r>
              <w:rPr>
                <w:rFonts w:ascii="仿宋_GB2312" w:hAnsi="仿宋_GB2312" w:cs="仿宋_GB2312" w:eastAsia="仿宋_GB2312"/>
              </w:rPr>
              <w:t>响应文件封面 供应商承诺.docx 中小企业声明函 残疾人福利性单位声明函 服务方案 合同草案条款偏离表.docx 标的清单 采购需求偏离表.docx 响应函 监狱企业的证明文件 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响应文件封面 供应商承诺.docx 中小企业声明函 残疾人福利性单位声明函 服务方案 合同草案条款偏离表.docx 标的清单 采购需求偏离表.docx 响应函 监狱企业的证明文件 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响应文件封面 供应商承诺.docx 中小企业声明函 残疾人福利性单位声明函 服务方案 合同草案条款偏离表.docx 标的清单 采购需求偏离表.docx 响应函 监狱企业的证明文件 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响应文件封面 供应商承诺.docx 中小企业声明函 残疾人福利性单位声明函 服务方案 合同草案条款偏离表.docx 标的清单 采购需求偏离表.docx 响应函 监狱企业的证明文件 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技术、服务内容达到采购要求，未出现重大负偏差，未降低服务要求</w:t>
            </w:r>
          </w:p>
        </w:tc>
        <w:tc>
          <w:tcPr>
            <w:tcW w:type="dxa" w:w="1661"/>
          </w:tcPr>
          <w:p>
            <w:pPr>
              <w:pStyle w:val="null3"/>
            </w:pPr>
            <w:r>
              <w:rPr>
                <w:rFonts w:ascii="仿宋_GB2312" w:hAnsi="仿宋_GB2312" w:cs="仿宋_GB2312" w:eastAsia="仿宋_GB2312"/>
              </w:rPr>
              <w:t>响应文件封面 供应商承诺.docx 中小企业声明函 残疾人福利性单位声明函 服务方案 合同草案条款偏离表.docx 标的清单 采购需求偏离表.docx 响应函 监狱企业的证明文件 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响应文件中不得附加采购人难以接受的条件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响应文件封面 供应商承诺.docx 中小企业声明函 残疾人福利性单位声明函 服务方案 合同草案条款偏离表.docx 标的清单 采购需求偏离表.docx 响应函 监狱企业的证明文件 资格证明资料.docx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针对本项目提供实施服务方案： 1、具体物流配送方案； 2、食材退换货服务方案； 3、兽药残留检测方案； 4、食材溯源方案； 5、食材新鲜度保障方案； 完整提供上述5项内容的得25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食品安全保障</w:t>
            </w:r>
          </w:p>
        </w:tc>
        <w:tc>
          <w:tcPr>
            <w:tcW w:type="dxa" w:w="2492"/>
          </w:tcPr>
          <w:p>
            <w:pPr>
              <w:pStyle w:val="null3"/>
            </w:pPr>
            <w:r>
              <w:rPr>
                <w:rFonts w:ascii="仿宋_GB2312" w:hAnsi="仿宋_GB2312" w:cs="仿宋_GB2312" w:eastAsia="仿宋_GB2312"/>
              </w:rPr>
              <w:t>提供下列各环节食品安全保障措施： 1、食材采买环节； 2、食材包装环节； 3、食材配送环节； 4、食材放置存储环节。 完整提供上述4项内容的得20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针对本项目提供服务质量保障方案： 1、健全的内部管理制度及财务制度； 2、针对本项目的食品安全保障制度. 完整提供上述2项内容的得10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提供售后服务方案： 1、售后服务人员安排； 2、售后服务响应时间； 3、售后服务工作机制 完整提供上述3项内容的得15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办公和仓储场所</w:t>
            </w:r>
          </w:p>
        </w:tc>
        <w:tc>
          <w:tcPr>
            <w:tcW w:type="dxa" w:w="2492"/>
          </w:tcPr>
          <w:p>
            <w:pPr>
              <w:pStyle w:val="null3"/>
            </w:pPr>
            <w:r>
              <w:rPr>
                <w:rFonts w:ascii="仿宋_GB2312" w:hAnsi="仿宋_GB2312" w:cs="仿宋_GB2312" w:eastAsia="仿宋_GB2312"/>
              </w:rPr>
              <w:t>1、在本地具有办公场所，提供房屋产权证或房屋租赁合同，满足得2.5分，不满足或未提供证明材料计0分； 2、有固定的符合《食品安全法》规定的食材仓储场所，场所有适宜的储藏温度及良好的空气流动性。提供相关证明材料，满足得2.5分，不满足或未提供证明材料计0分。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人员和车辆配置</w:t>
            </w:r>
          </w:p>
        </w:tc>
        <w:tc>
          <w:tcPr>
            <w:tcW w:type="dxa" w:w="2492"/>
          </w:tcPr>
          <w:p>
            <w:pPr>
              <w:pStyle w:val="null3"/>
            </w:pPr>
            <w:r>
              <w:rPr>
                <w:rFonts w:ascii="仿宋_GB2312" w:hAnsi="仿宋_GB2312" w:cs="仿宋_GB2312" w:eastAsia="仿宋_GB2312"/>
              </w:rPr>
              <w:t>1、拟派配送服务人员具备有效期内的健康证，提供一个健康证得0.5分，最高得2分。 2、本项目提供至少一辆自有封闭式专用冷藏运输车辆的得3分。注：机动车辆行驶证或租赁合同、车辆图片等证明材料加盖供应商鲜章。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供应商提供2022年1月1日至今类似项目业绩，业绩以合同为依据，响应文件中附有其证明资料，每提供一个业绩证明计1分，满分5分。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满足磋商文件要求且最后报价最低的供应商的价格为磋商基准价（即 1-最高下浮比例），其价格分为满分。其他供应商的价格分统一按照下列公式计算：磋商报价得分=(1-最高下浮比例）／（1-下浮比例）)×价格权值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详见附件：供应商承诺.docx</w:t>
      </w:r>
    </w:p>
    <w:p>
      <w:pPr>
        <w:pStyle w:val="null3"/>
        <w:ind w:firstLine="960"/>
      </w:pPr>
      <w:r>
        <w:rPr>
          <w:rFonts w:ascii="仿宋_GB2312" w:hAnsi="仿宋_GB2312" w:cs="仿宋_GB2312" w:eastAsia="仿宋_GB2312"/>
        </w:rPr>
        <w:t>详见附件：合同草案条款偏离表.docx</w:t>
      </w:r>
    </w:p>
    <w:p>
      <w:pPr>
        <w:pStyle w:val="null3"/>
        <w:ind w:firstLine="960"/>
      </w:pPr>
      <w:r>
        <w:rPr>
          <w:rFonts w:ascii="仿宋_GB2312" w:hAnsi="仿宋_GB2312" w:cs="仿宋_GB2312" w:eastAsia="仿宋_GB2312"/>
        </w:rPr>
        <w:t>详见附件：资格证明资料.docx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