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DD093">
      <w:pPr>
        <w:pStyle w:val="5"/>
        <w:jc w:val="center"/>
        <w:outlineLvl w:val="1"/>
      </w:pPr>
      <w:r>
        <w:rPr>
          <w:rFonts w:ascii="仿宋_GB2312" w:hAnsi="仿宋_GB2312" w:eastAsia="仿宋_GB2312" w:cs="仿宋_GB2312"/>
          <w:b/>
          <w:sz w:val="36"/>
        </w:rPr>
        <w:t>拟签订采购合同文本</w:t>
      </w:r>
    </w:p>
    <w:p w14:paraId="386FB645">
      <w:pPr>
        <w:adjustRightInd w:val="0"/>
        <w:snapToGrid w:val="0"/>
        <w:spacing w:line="360" w:lineRule="auto"/>
        <w:ind w:left="105" w:leftChars="50" w:firstLine="402" w:firstLineChars="200"/>
        <w:rPr>
          <w:rFonts w:ascii="宋体" w:hAnsi="宋体" w:eastAsia="宋体" w:cs="Times New Roman"/>
          <w:b/>
          <w:sz w:val="20"/>
          <w:szCs w:val="20"/>
        </w:rPr>
      </w:pPr>
    </w:p>
    <w:p w14:paraId="7DF69CF5">
      <w:pPr>
        <w:adjustRightInd w:val="0"/>
        <w:snapToGrid w:val="0"/>
        <w:spacing w:line="360" w:lineRule="auto"/>
        <w:ind w:left="105" w:leftChars="50" w:firstLine="402" w:firstLineChars="200"/>
        <w:rPr>
          <w:rFonts w:hint="eastAsia" w:ascii="宋体" w:hAnsi="宋体" w:eastAsia="宋体" w:cs="Times New Roman"/>
          <w:sz w:val="20"/>
          <w:szCs w:val="20"/>
        </w:rPr>
      </w:pPr>
      <w:r>
        <w:rPr>
          <w:rFonts w:ascii="宋体" w:hAnsi="宋体" w:eastAsia="宋体" w:cs="Times New Roman"/>
          <w:b/>
          <w:sz w:val="20"/>
          <w:szCs w:val="20"/>
        </w:rPr>
        <w:t>甲方：（</w:t>
      </w:r>
      <w:r>
        <w:rPr>
          <w:rFonts w:ascii="宋体" w:hAnsi="宋体" w:eastAsia="宋体" w:cs="Times New Roman"/>
          <w:sz w:val="20"/>
          <w:szCs w:val="20"/>
        </w:rPr>
        <w:t>前款所称采购人）         住所：</w:t>
      </w:r>
    </w:p>
    <w:p w14:paraId="175A6930">
      <w:pPr>
        <w:adjustRightInd w:val="0"/>
        <w:snapToGrid w:val="0"/>
        <w:spacing w:line="360" w:lineRule="auto"/>
        <w:ind w:left="105" w:leftChars="50" w:firstLine="402" w:firstLineChars="200"/>
        <w:rPr>
          <w:rFonts w:hint="eastAsia" w:ascii="宋体" w:hAnsi="宋体" w:eastAsia="宋体" w:cs="Times New Roman"/>
          <w:sz w:val="20"/>
          <w:szCs w:val="20"/>
        </w:rPr>
      </w:pPr>
      <w:r>
        <w:rPr>
          <w:rFonts w:ascii="宋体" w:hAnsi="宋体" w:eastAsia="宋体" w:cs="Times New Roman"/>
          <w:b/>
          <w:sz w:val="20"/>
          <w:szCs w:val="20"/>
        </w:rPr>
        <w:t>乙方：</w:t>
      </w:r>
      <w:r>
        <w:rPr>
          <w:rFonts w:ascii="宋体" w:hAnsi="宋体" w:eastAsia="宋体" w:cs="Times New Roman"/>
          <w:sz w:val="20"/>
          <w:szCs w:val="20"/>
        </w:rPr>
        <w:t>（前款所称成交供应商）     住所：</w:t>
      </w:r>
    </w:p>
    <w:p w14:paraId="6CB693D3">
      <w:pPr>
        <w:adjustRightInd w:val="0"/>
        <w:snapToGrid w:val="0"/>
        <w:spacing w:line="360" w:lineRule="auto"/>
        <w:ind w:firstLine="402" w:firstLineChars="200"/>
        <w:rPr>
          <w:rFonts w:hint="eastAsia" w:asciiTheme="minorEastAsia" w:hAnsiTheme="minorEastAsia" w:cstheme="minorEastAsia"/>
          <w:b/>
          <w:sz w:val="20"/>
          <w:szCs w:val="20"/>
        </w:rPr>
      </w:pPr>
      <w:bookmarkStart w:id="0" w:name="_Toc19515384"/>
      <w:r>
        <w:rPr>
          <w:rFonts w:hint="eastAsia" w:asciiTheme="minorEastAsia" w:hAnsiTheme="minorEastAsia" w:cstheme="minorEastAsia"/>
          <w:b/>
          <w:sz w:val="20"/>
          <w:szCs w:val="20"/>
        </w:rPr>
        <w:t>一、合同内容（标的、数量、质量等）:</w:t>
      </w:r>
    </w:p>
    <w:p w14:paraId="3351FFF0">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二、合同价款</w:t>
      </w:r>
    </w:p>
    <w:p w14:paraId="6BD45E72">
      <w:pPr>
        <w:adjustRightInd w:val="0"/>
        <w:snapToGrid w:val="0"/>
        <w:spacing w:line="360" w:lineRule="auto"/>
        <w:ind w:firstLine="400" w:firstLineChars="200"/>
        <w:rPr>
          <w:rFonts w:hint="eastAsia" w:asciiTheme="minorEastAsia" w:hAnsiTheme="minorEastAsia" w:cstheme="minorEastAsia"/>
          <w:sz w:val="20"/>
          <w:szCs w:val="20"/>
          <w:u w:val="single"/>
        </w:rPr>
      </w:pPr>
      <w:r>
        <w:rPr>
          <w:rFonts w:hint="eastAsia" w:asciiTheme="minorEastAsia" w:hAnsiTheme="minorEastAsia" w:cstheme="minorEastAsia"/>
          <w:sz w:val="20"/>
          <w:szCs w:val="20"/>
        </w:rPr>
        <w:t>1、合同下浮率：</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（合同下浮率即成交下浮率）</w:t>
      </w:r>
    </w:p>
    <w:p w14:paraId="4D382776">
      <w:pPr>
        <w:adjustRightInd w:val="0"/>
        <w:snapToGrid w:val="0"/>
        <w:spacing w:line="360" w:lineRule="auto"/>
        <w:ind w:firstLine="400" w:firstLineChars="200"/>
        <w:rPr>
          <w:rFonts w:hint="eastAsia" w:asciiTheme="minorEastAsia" w:hAnsiTheme="minorEastAsia" w:cstheme="minorEastAsia"/>
          <w:color w:val="FF0000"/>
          <w:sz w:val="20"/>
          <w:szCs w:val="20"/>
        </w:rPr>
      </w:pPr>
      <w:r>
        <w:rPr>
          <w:rFonts w:hint="eastAsia" w:asciiTheme="minorEastAsia" w:hAnsiTheme="minorEastAsia" w:cstheme="minorEastAsia"/>
          <w:sz w:val="20"/>
          <w:szCs w:val="20"/>
        </w:rPr>
        <w:t>2、合同下浮率即成交下浮率，为一次性报价，不受市场价变化或实际工作量变化的影响。合同价格为含税价，乙方提供产品、服务所发生的一切税（包括增值税）费等都已包含于合同价款中。</w:t>
      </w:r>
    </w:p>
    <w:p w14:paraId="7E4EB101">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3、合同下浮率一次包死，不受市场价变化的影响。</w:t>
      </w:r>
    </w:p>
    <w:p w14:paraId="2BE97D15">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三、合同结算</w:t>
      </w:r>
    </w:p>
    <w:p w14:paraId="37706313">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1、结算方式：以当月产品最高限价*（1-下浮率）*实际供应量进行据实结算。</w:t>
      </w:r>
    </w:p>
    <w:p w14:paraId="6D959E93">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2、产品最高限价：</w:t>
      </w:r>
    </w:p>
    <w:p w14:paraId="1FF162F8">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根据西安市农业农村局官网（http://nyncj.xa.gov.cn）发布的北城批发市场、摩尔农产品交易中心、朱雀市场和欣桥批发市场的四个市场产品当月第一周的价格均值作为本月产品最高限价，若为西安市农业农村局官网没有公布价格的品种，按招标人同类市场调研价格作为本月产品最高限价。</w:t>
      </w:r>
    </w:p>
    <w:p w14:paraId="0A6E776C">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3、付款方式：</w:t>
      </w:r>
    </w:p>
    <w:p w14:paraId="367D010C">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按月结算，合同履约后满1个月，乙方根据当月货物清单开具全额发票给甲方。甲方收到发票后30日内支付该时间段的费用。甲方在验收合格后，根据供货单据实结算，若遇年终预决算等特殊原因，延期结算。</w:t>
      </w:r>
    </w:p>
    <w:p w14:paraId="749DFC27">
      <w:pPr>
        <w:adjustRightInd w:val="0"/>
        <w:snapToGrid w:val="0"/>
        <w:spacing w:line="360" w:lineRule="auto"/>
        <w:ind w:firstLine="402" w:firstLineChars="200"/>
        <w:rPr>
          <w:rFonts w:hint="eastAsia" w:asciiTheme="minorEastAsia" w:hAnsiTheme="minorEastAsia" w:cstheme="minorEastAsia"/>
          <w:b/>
          <w:sz w:val="20"/>
          <w:szCs w:val="20"/>
          <w:highlight w:val="none"/>
        </w:rPr>
      </w:pPr>
      <w:r>
        <w:rPr>
          <w:rFonts w:hint="eastAsia" w:asciiTheme="minorEastAsia" w:hAnsiTheme="minorEastAsia" w:cstheme="minorEastAsia"/>
          <w:b/>
          <w:sz w:val="20"/>
          <w:szCs w:val="20"/>
          <w:highlight w:val="none"/>
        </w:rPr>
        <w:t>四、供货期限、地点及方式</w:t>
      </w:r>
    </w:p>
    <w:p w14:paraId="6BDF595A">
      <w:pPr>
        <w:adjustRightInd w:val="0"/>
        <w:snapToGrid w:val="0"/>
        <w:spacing w:line="360" w:lineRule="auto"/>
        <w:ind w:firstLine="400" w:firstLineChars="200"/>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highlight w:val="none"/>
        </w:rPr>
        <w:t>1、供货期限：2026年</w:t>
      </w:r>
      <w:r>
        <w:rPr>
          <w:rFonts w:hint="eastAsia" w:asciiTheme="minorEastAsia" w:hAnsiTheme="minorEastAsia" w:cstheme="minorEastAsia"/>
          <w:sz w:val="20"/>
          <w:szCs w:val="20"/>
          <w:highlight w:val="none"/>
          <w:lang w:val="en-US" w:eastAsia="zh-CN"/>
        </w:rPr>
        <w:t>5</w:t>
      </w:r>
      <w:r>
        <w:rPr>
          <w:rFonts w:hint="eastAsia" w:asciiTheme="minorEastAsia" w:hAnsiTheme="minorEastAsia" w:cstheme="minorEastAsia"/>
          <w:sz w:val="20"/>
          <w:szCs w:val="20"/>
          <w:highlight w:val="none"/>
        </w:rPr>
        <w:t>月1日-2027年</w:t>
      </w:r>
      <w:r>
        <w:rPr>
          <w:rFonts w:hint="eastAsia" w:asciiTheme="minorEastAsia" w:hAnsiTheme="minorEastAsia" w:cstheme="minorEastAsia"/>
          <w:sz w:val="20"/>
          <w:szCs w:val="20"/>
          <w:highlight w:val="none"/>
          <w:lang w:val="en-US" w:eastAsia="zh-CN"/>
        </w:rPr>
        <w:t>4</w:t>
      </w:r>
      <w:r>
        <w:rPr>
          <w:rFonts w:hint="eastAsia" w:asciiTheme="minorEastAsia" w:hAnsiTheme="minorEastAsia" w:cstheme="minorEastAsia"/>
          <w:sz w:val="20"/>
          <w:szCs w:val="20"/>
          <w:highlight w:val="none"/>
        </w:rPr>
        <w:t>月3</w:t>
      </w:r>
      <w:r>
        <w:rPr>
          <w:rFonts w:hint="eastAsia" w:asciiTheme="minorEastAsia" w:hAnsiTheme="minorEastAsia" w:cstheme="minorEastAsia"/>
          <w:sz w:val="20"/>
          <w:szCs w:val="20"/>
          <w:highlight w:val="none"/>
          <w:lang w:val="en-US" w:eastAsia="zh-CN"/>
        </w:rPr>
        <w:t>0</w:t>
      </w:r>
      <w:r>
        <w:rPr>
          <w:rFonts w:hint="eastAsia" w:asciiTheme="minorEastAsia" w:hAnsiTheme="minorEastAsia" w:cstheme="minorEastAsia"/>
          <w:sz w:val="20"/>
          <w:szCs w:val="20"/>
          <w:highlight w:val="none"/>
        </w:rPr>
        <w:t>日，按需供货。</w:t>
      </w:r>
    </w:p>
    <w:p w14:paraId="7273D531">
      <w:pPr>
        <w:adjustRightInd w:val="0"/>
        <w:snapToGrid w:val="0"/>
        <w:spacing w:line="360" w:lineRule="auto"/>
        <w:ind w:firstLine="400" w:firstLineChars="200"/>
        <w:rPr>
          <w:rFonts w:hint="eastAsia" w:asciiTheme="minorEastAsia" w:hAnsiTheme="minorEastAsia" w:cstheme="minorEastAsia"/>
          <w:sz w:val="20"/>
          <w:szCs w:val="20"/>
          <w:highlight w:val="none"/>
        </w:rPr>
      </w:pPr>
      <w:r>
        <w:rPr>
          <w:rFonts w:hint="eastAsia" w:asciiTheme="minorEastAsia" w:hAnsiTheme="minorEastAsia" w:cstheme="minorEastAsia"/>
          <w:sz w:val="20"/>
          <w:szCs w:val="20"/>
          <w:highlight w:val="none"/>
        </w:rPr>
        <w:t>2、配送响应时间：接每日菜单后第二天上午8:00前送到。</w:t>
      </w:r>
    </w:p>
    <w:p w14:paraId="60C6B09C">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3、送货地址：甲方指定地址。</w:t>
      </w:r>
    </w:p>
    <w:p w14:paraId="41723B98">
      <w:pPr>
        <w:adjustRightInd w:val="0"/>
        <w:snapToGrid w:val="0"/>
        <w:spacing w:line="360" w:lineRule="auto"/>
        <w:ind w:firstLine="402" w:firstLineChars="200"/>
        <w:rPr>
          <w:rFonts w:hint="eastAsia" w:asciiTheme="minorEastAsia" w:hAnsiTheme="minorEastAsia" w:cstheme="minorEastAsia"/>
          <w:b/>
          <w:bCs/>
          <w:sz w:val="20"/>
          <w:szCs w:val="20"/>
        </w:rPr>
      </w:pPr>
      <w:r>
        <w:rPr>
          <w:rFonts w:hint="eastAsia" w:asciiTheme="minorEastAsia" w:hAnsiTheme="minorEastAsia" w:cstheme="minorEastAsia"/>
          <w:b/>
          <w:bCs/>
          <w:sz w:val="20"/>
          <w:szCs w:val="20"/>
        </w:rPr>
        <w:t>五、货物质量保证</w:t>
      </w:r>
    </w:p>
    <w:p w14:paraId="566517C6">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1、符合《产品质量法》和《食品安全法》等相关法律法规规定的质量标准。</w:t>
      </w:r>
    </w:p>
    <w:p w14:paraId="7F4DF3CC">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2、乙方提供的产品及材料必须保证质量可靠，进货渠道正常，应全面满足招标文件的要求，招标文件未明确要求的内容，乙方须以甲方的补充要求为准，如发生质量问题由乙方承担全部责任。</w:t>
      </w:r>
    </w:p>
    <w:p w14:paraId="6C8ED663">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3、乙方应保证所有产品的完好无损包括配套包装，如有缺漏、损坏，由乙方负责调换、补齐或赔偿。</w:t>
      </w:r>
    </w:p>
    <w:p w14:paraId="3EC388C7">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4、服务期内服务内容等指标与合同有任何一项不符，甲方应尽快以书面形式向乙方提出索赔。同时应向政府采购管理部门报告。</w:t>
      </w:r>
    </w:p>
    <w:p w14:paraId="6E631B06">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5、乙方在收到采购人的通知后，应及时免费对服务内容及使用效果的不足或偏差进行补正。</w:t>
      </w:r>
    </w:p>
    <w:p w14:paraId="6B10A220">
      <w:pPr>
        <w:adjustRightInd w:val="0"/>
        <w:snapToGrid w:val="0"/>
        <w:spacing w:line="360" w:lineRule="auto"/>
        <w:ind w:firstLine="402" w:firstLineChars="200"/>
        <w:rPr>
          <w:rFonts w:hint="eastAsia" w:asciiTheme="minorEastAsia" w:hAnsiTheme="minorEastAsia" w:cstheme="minorEastAsia"/>
          <w:b/>
          <w:bCs/>
          <w:sz w:val="20"/>
          <w:szCs w:val="20"/>
        </w:rPr>
      </w:pPr>
      <w:r>
        <w:rPr>
          <w:rFonts w:hint="eastAsia" w:asciiTheme="minorEastAsia" w:hAnsiTheme="minorEastAsia" w:cstheme="minorEastAsia"/>
          <w:b/>
          <w:bCs/>
          <w:sz w:val="20"/>
          <w:szCs w:val="20"/>
        </w:rPr>
        <w:t>六、运输</w:t>
      </w:r>
    </w:p>
    <w:p w14:paraId="782883A8">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1、乙方根据产品特性，自行选择运输及包装方式，承担一切运输费用，包括从生产厂到甲方指定交货地点所需的装卸、运输（含保险费）及其他一切费用。</w:t>
      </w:r>
    </w:p>
    <w:p w14:paraId="454FC2BC">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w:t>
      </w:r>
    </w:p>
    <w:p w14:paraId="1FEE8622">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七、验收</w:t>
      </w:r>
    </w:p>
    <w:p w14:paraId="1C9C860B">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1、验收依据：</w:t>
      </w:r>
    </w:p>
    <w:p w14:paraId="3BCF169C">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1-1、合同文本、合同附件、磋商文件、磋商响应文件。</w:t>
      </w:r>
    </w:p>
    <w:p w14:paraId="12A32482">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1-2、国内相应的标准、规范。</w:t>
      </w:r>
    </w:p>
    <w:p w14:paraId="17BC4DCB">
      <w:pPr>
        <w:adjustRightInd w:val="0"/>
        <w:snapToGrid w:val="0"/>
        <w:spacing w:line="360" w:lineRule="auto"/>
        <w:ind w:firstLine="400" w:firstLineChars="200"/>
        <w:rPr>
          <w:rFonts w:hint="eastAsia" w:asciiTheme="minorEastAsia" w:hAnsiTheme="minorEastAsia" w:cstheme="minorEastAsia"/>
          <w:bCs/>
          <w:sz w:val="20"/>
          <w:szCs w:val="20"/>
        </w:rPr>
      </w:pPr>
      <w:bookmarkStart w:id="1" w:name="_Toc19515393"/>
      <w:r>
        <w:rPr>
          <w:rFonts w:hint="eastAsia" w:asciiTheme="minorEastAsia" w:hAnsiTheme="minorEastAsia" w:cstheme="minorEastAsia"/>
          <w:bCs/>
          <w:sz w:val="20"/>
          <w:szCs w:val="20"/>
        </w:rPr>
        <w:t>2、验收方式及标准</w:t>
      </w:r>
    </w:p>
    <w:p w14:paraId="2E0131EC">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2-1、验收方式</w:t>
      </w:r>
    </w:p>
    <w:p w14:paraId="7EE50804">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-1-1、配送方到达指定地点，将货物清单送至采购方，甲方根据验收标准检验产品，清点货物，填写验收单，对于验收不合格的产品，乙方应及时处理，并调动公司应急小组及时进行统计补货，为此造成的损失及费用由乙方负责。</w:t>
      </w:r>
    </w:p>
    <w:p w14:paraId="33718720">
      <w:pPr>
        <w:adjustRightInd w:val="0"/>
        <w:snapToGrid w:val="0"/>
        <w:spacing w:line="360" w:lineRule="auto"/>
        <w:ind w:firstLine="400" w:firstLineChars="200"/>
        <w:rPr>
          <w:rFonts w:hint="eastAsia" w:asciiTheme="minorEastAsia" w:hAnsiTheme="minorEastAsia" w:cstheme="minorEastAsia"/>
          <w:bCs/>
          <w:sz w:val="20"/>
          <w:szCs w:val="20"/>
        </w:rPr>
      </w:pPr>
      <w:r>
        <w:rPr>
          <w:rFonts w:hint="eastAsia" w:asciiTheme="minorEastAsia" w:hAnsiTheme="minorEastAsia" w:cstheme="minorEastAsia"/>
          <w:bCs/>
          <w:sz w:val="20"/>
          <w:szCs w:val="20"/>
        </w:rPr>
        <w:t>2-1-2、原材料验收由甲方业务管理方、乙方、餐厅使用方，三方现场检验，对供应产品的质量无异议数量准确无误后，三方签字，各自留存。</w:t>
      </w:r>
    </w:p>
    <w:p w14:paraId="2559B244">
      <w:pPr>
        <w:adjustRightInd w:val="0"/>
        <w:snapToGrid w:val="0"/>
        <w:spacing w:line="360" w:lineRule="auto"/>
        <w:ind w:firstLine="400" w:firstLineChars="200"/>
        <w:rPr>
          <w:rFonts w:hint="default" w:asciiTheme="minorEastAsia" w:hAnsiTheme="minorEastAsia" w:eastAsiaTheme="minorEastAsia" w:cstheme="minorEastAsia"/>
          <w:bCs/>
          <w:sz w:val="20"/>
          <w:szCs w:val="20"/>
          <w:lang w:val="en-US" w:eastAsia="zh-CN"/>
        </w:rPr>
      </w:pPr>
      <w:r>
        <w:rPr>
          <w:rFonts w:hint="eastAsia" w:asciiTheme="minorEastAsia" w:hAnsiTheme="minorEastAsia" w:cstheme="minorEastAsia"/>
          <w:bCs/>
          <w:sz w:val="20"/>
          <w:szCs w:val="20"/>
        </w:rPr>
        <w:t>2-2、验收标准</w:t>
      </w:r>
      <w:r>
        <w:rPr>
          <w:rFonts w:hint="eastAsia" w:asciiTheme="minorEastAsia" w:hAnsiTheme="minorEastAsia" w:cstheme="minorEastAsia"/>
          <w:bCs/>
          <w:sz w:val="20"/>
          <w:szCs w:val="20"/>
          <w:lang w:eastAsia="zh-CN"/>
        </w:rPr>
        <w:t>：</w:t>
      </w:r>
      <w:r>
        <w:rPr>
          <w:rFonts w:hint="eastAsia" w:asciiTheme="minorEastAsia" w:hAnsiTheme="minorEastAsia" w:cstheme="minorEastAsia"/>
          <w:bCs/>
          <w:sz w:val="20"/>
          <w:szCs w:val="20"/>
          <w:lang w:val="en-US" w:eastAsia="zh-CN"/>
        </w:rPr>
        <w:t>依据采购需求。</w:t>
      </w:r>
    </w:p>
    <w:p w14:paraId="72407C74">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八、甲方的权利和义务</w:t>
      </w:r>
    </w:p>
    <w:p w14:paraId="2EF3608F">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1、甲方有权督促乙方完成合同中协议的所有工作内容及其工作进度；</w:t>
      </w:r>
    </w:p>
    <w:p w14:paraId="49CC0F83">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2、甲方应主动提供有利于项目顺利执行实施的相关资源及便利；</w:t>
      </w:r>
    </w:p>
    <w:p w14:paraId="347BEBF5">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3、甲方有权向乙方提出整改建议和意见。</w:t>
      </w:r>
    </w:p>
    <w:p w14:paraId="1117E7E7">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九、乙方的权利和义务</w:t>
      </w:r>
    </w:p>
    <w:p w14:paraId="5D2850D9">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1、对本合同规定的委托范围内的项目享有管理权及服务义务。</w:t>
      </w:r>
    </w:p>
    <w:p w14:paraId="6EB27D0E">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2、根据本合同的规定向甲方收取相关服务费用，并有权在本项目管理范围内管理及合理使用。</w:t>
      </w:r>
    </w:p>
    <w:p w14:paraId="50747553">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3、及时向甲方通告本项目执行范围内有关的重大事项，及时配合处理投诉。</w:t>
      </w:r>
    </w:p>
    <w:p w14:paraId="1EC5D915">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4、接受项目行业管理部门及政府有关部门的指导，接受甲方的监督。</w:t>
      </w:r>
    </w:p>
    <w:p w14:paraId="2725ABA2">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5、国家法律、法规所规定由乙方承担的其它责任。</w:t>
      </w:r>
    </w:p>
    <w:p w14:paraId="6B3637BF">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十、违约责任</w:t>
      </w:r>
    </w:p>
    <w:p w14:paraId="1A0588AF">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1、违约责任按《中华人民共和国民法典》处理中的相关条款执行。</w:t>
      </w:r>
    </w:p>
    <w:bookmarkEnd w:id="1"/>
    <w:p w14:paraId="6159636F">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2、乙方没有按时按要求配送到位，影响甲方员工餐厅正常开餐的，以当日需求计划总量两倍价款赔付当日损失，同时甲方将对乙方进行处罚。</w:t>
      </w:r>
    </w:p>
    <w:p w14:paraId="3D488C90">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3、在验收时有不符合要求的，一律退回，乙方无条件重新更换配送货物，更换后仍然不符合标准的甲方有权对乙方处以一定金额的罚款。</w:t>
      </w:r>
    </w:p>
    <w:p w14:paraId="23455817">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4、任何因产品质量问题导致的食品安全或食物中毒责任，在确认导致问题的品种后，由乙方承担全部法律责任与经济损失，除对甲方进行赔付外，甲方有权单方终止合同。</w:t>
      </w:r>
    </w:p>
    <w:p w14:paraId="2F38F5AC">
      <w:pPr>
        <w:adjustRightInd w:val="0"/>
        <w:snapToGrid w:val="0"/>
        <w:spacing w:line="360" w:lineRule="auto"/>
        <w:ind w:firstLine="400" w:firstLineChars="200"/>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5、原材料供应商对于可能的违约责任或食品安全责任的责任承担说明。</w:t>
      </w:r>
    </w:p>
    <w:p w14:paraId="365133C9">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十一、服务承诺</w:t>
      </w:r>
    </w:p>
    <w:p w14:paraId="643C8028">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1、乙方需派一名项目经理，直接与甲方沟通，负责每批次供货现场的监督和协调工作，项目经理接收甲方提出的问题与要求，并及时向公司申请调动资源，解决甲方在项目实施过程中遇到的问题。</w:t>
      </w:r>
    </w:p>
    <w:p w14:paraId="000D6C15">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2、项目在实施过程中会出现不可预料的需求变更，乙方需积极配合甲方的需求变更。</w:t>
      </w:r>
    </w:p>
    <w:p w14:paraId="1DF8042C">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3、根据采购方需求，保证供货及时。</w:t>
      </w:r>
    </w:p>
    <w:p w14:paraId="4EC4DBB5">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4、所有包装产品日期保证新鲜。</w:t>
      </w:r>
    </w:p>
    <w:p w14:paraId="712DA06B">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5、保证所配送的各类食材符合国家食品安全标准要求，不掺杂、掺假、以次充好、以不合格品冒充合格品。保证蔬菜类做到：新鲜菜光滑、清脆鲜嫩，无变质腐烂、无黄叶、不带泥沙、无杂草；水果类做到新鲜，颜色亮丽，无变质腐烂。</w:t>
      </w:r>
    </w:p>
    <w:p w14:paraId="7E7017C3">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十二、不可抗力事件处理</w:t>
      </w:r>
    </w:p>
    <w:p w14:paraId="2D4C8D73">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6CDB471F">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2、本合同中的不可抗力指不能预见、不能避免并不能克服的客观情况。包括但不限于：自然灾害如地震、台风、洪水、火灾；政府行为、法律规定或其适用的变化或者其他任何无法预见、避免或者控制的事件。</w:t>
      </w:r>
    </w:p>
    <w:p w14:paraId="33446201">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十三、合同组成</w:t>
      </w:r>
    </w:p>
    <w:p w14:paraId="61709003">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1、中标通知书</w:t>
      </w:r>
    </w:p>
    <w:p w14:paraId="3651A027">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2、合同文件</w:t>
      </w:r>
    </w:p>
    <w:p w14:paraId="7479C292">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3、国家相关规范及标准</w:t>
      </w:r>
    </w:p>
    <w:p w14:paraId="7E2A4309">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4、磋商文件</w:t>
      </w:r>
    </w:p>
    <w:p w14:paraId="365AB4F8">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5、磋商响应文件</w:t>
      </w:r>
    </w:p>
    <w:p w14:paraId="50DD5BF2">
      <w:pPr>
        <w:adjustRightInd w:val="0"/>
        <w:snapToGrid w:val="0"/>
        <w:spacing w:line="360" w:lineRule="auto"/>
        <w:ind w:firstLine="402" w:firstLineChars="200"/>
        <w:rPr>
          <w:rFonts w:hint="eastAsia" w:asciiTheme="minorEastAsia" w:hAnsiTheme="minorEastAsia" w:cstheme="minorEastAsia"/>
          <w:b/>
          <w:sz w:val="20"/>
          <w:szCs w:val="20"/>
        </w:rPr>
      </w:pPr>
      <w:bookmarkStart w:id="2" w:name="_Toc19515394"/>
      <w:r>
        <w:rPr>
          <w:rFonts w:hint="eastAsia" w:asciiTheme="minorEastAsia" w:hAnsiTheme="minorEastAsia" w:cstheme="minorEastAsia"/>
          <w:b/>
          <w:sz w:val="20"/>
          <w:szCs w:val="20"/>
        </w:rPr>
        <w:t>十四、解决争议的方法</w:t>
      </w:r>
      <w:bookmarkEnd w:id="2"/>
    </w:p>
    <w:p w14:paraId="571D2230">
      <w:pPr>
        <w:autoSpaceDE w:val="0"/>
        <w:autoSpaceDN w:val="0"/>
        <w:snapToGrid w:val="0"/>
        <w:spacing w:line="360" w:lineRule="auto"/>
        <w:ind w:right="-110" w:firstLine="400" w:firstLineChars="200"/>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凡因本合同引起的或与本合同有关的争议，双方应友好协商解决。协商不成时，甲、乙双方均同意向甲方所在地人民法院提起诉讼解决。</w:t>
      </w:r>
    </w:p>
    <w:p w14:paraId="13B56C06">
      <w:pPr>
        <w:adjustRightInd w:val="0"/>
        <w:snapToGrid w:val="0"/>
        <w:spacing w:line="360" w:lineRule="auto"/>
        <w:ind w:firstLine="402" w:firstLineChars="200"/>
        <w:rPr>
          <w:rFonts w:hint="eastAsia" w:asciiTheme="minorEastAsia" w:hAnsiTheme="minorEastAsia" w:cstheme="minorEastAsia"/>
          <w:b/>
          <w:sz w:val="20"/>
          <w:szCs w:val="20"/>
        </w:rPr>
      </w:pPr>
      <w:bookmarkStart w:id="3" w:name="_Toc19515395"/>
      <w:r>
        <w:rPr>
          <w:rFonts w:hint="eastAsia" w:asciiTheme="minorEastAsia" w:hAnsiTheme="minorEastAsia" w:cstheme="minorEastAsia"/>
          <w:b/>
          <w:sz w:val="20"/>
          <w:szCs w:val="20"/>
        </w:rPr>
        <w:t>十五、合同生效及其它</w:t>
      </w:r>
      <w:bookmarkEnd w:id="3"/>
    </w:p>
    <w:p w14:paraId="31FDDAD4">
      <w:pPr>
        <w:autoSpaceDE w:val="0"/>
        <w:autoSpaceDN w:val="0"/>
        <w:snapToGrid w:val="0"/>
        <w:spacing w:line="360" w:lineRule="auto"/>
        <w:ind w:right="-110" w:firstLine="400" w:firstLineChars="200"/>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1、合同未尽事宜、由甲、乙双方协商，作为合同补充，与原合同具有同等法律效力。</w:t>
      </w:r>
    </w:p>
    <w:p w14:paraId="72C0B6C7">
      <w:pPr>
        <w:tabs>
          <w:tab w:val="left" w:pos="8391"/>
        </w:tabs>
        <w:autoSpaceDE w:val="0"/>
        <w:autoSpaceDN w:val="0"/>
        <w:snapToGrid w:val="0"/>
        <w:spacing w:line="360" w:lineRule="auto"/>
        <w:ind w:right="-69" w:firstLine="400" w:firstLineChars="200"/>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2、 本合同一式</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份，甲方、乙方双方分别执</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份，</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备案</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份。</w:t>
      </w:r>
    </w:p>
    <w:p w14:paraId="6630E03C">
      <w:pPr>
        <w:tabs>
          <w:tab w:val="left" w:pos="8391"/>
        </w:tabs>
        <w:autoSpaceDE w:val="0"/>
        <w:autoSpaceDN w:val="0"/>
        <w:snapToGrid w:val="0"/>
        <w:spacing w:line="360" w:lineRule="auto"/>
        <w:ind w:right="-69" w:firstLine="400" w:firstLineChars="200"/>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3、合同经甲乙双方盖章、签字后生效，合同签订地点为</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w:t>
      </w:r>
    </w:p>
    <w:p w14:paraId="7C174605">
      <w:pPr>
        <w:tabs>
          <w:tab w:val="left" w:pos="8391"/>
        </w:tabs>
        <w:autoSpaceDE w:val="0"/>
        <w:autoSpaceDN w:val="0"/>
        <w:snapToGrid w:val="0"/>
        <w:spacing w:line="360" w:lineRule="auto"/>
        <w:ind w:right="-69" w:firstLine="400" w:firstLineChars="200"/>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4、生效时间：</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年</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月</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日</w:t>
      </w:r>
    </w:p>
    <w:tbl>
      <w:tblPr>
        <w:tblStyle w:val="3"/>
        <w:tblpPr w:leftFromText="180" w:rightFromText="180" w:vertAnchor="text" w:horzAnchor="page" w:tblpXSpec="center" w:tblpY="454"/>
        <w:tblOverlap w:val="never"/>
        <w:tblW w:w="0" w:type="auto"/>
        <w:jc w:val="center"/>
        <w:tblLayout w:type="fixed"/>
        <w:tblCellMar>
          <w:top w:w="0" w:type="dxa"/>
          <w:left w:w="108" w:type="dxa"/>
          <w:bottom w:w="0" w:type="dxa"/>
          <w:right w:w="108" w:type="dxa"/>
        </w:tblCellMar>
      </w:tblPr>
      <w:tblGrid>
        <w:gridCol w:w="4643"/>
        <w:gridCol w:w="4643"/>
      </w:tblGrid>
      <w:tr w14:paraId="0117B67F">
        <w:tblPrEx>
          <w:tblCellMar>
            <w:top w:w="0" w:type="dxa"/>
            <w:left w:w="108" w:type="dxa"/>
            <w:bottom w:w="0" w:type="dxa"/>
            <w:right w:w="108" w:type="dxa"/>
          </w:tblCellMar>
        </w:tblPrEx>
        <w:trPr>
          <w:trHeight w:val="107" w:hRule="atLeast"/>
          <w:jc w:val="center"/>
        </w:trPr>
        <w:tc>
          <w:tcPr>
            <w:tcW w:w="4643" w:type="dxa"/>
          </w:tcPr>
          <w:p w14:paraId="23E6210F">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甲方名称</w:t>
            </w:r>
            <w:r>
              <w:rPr>
                <w:rFonts w:hint="eastAsia" w:asciiTheme="minorEastAsia" w:hAnsiTheme="minorEastAsia" w:cstheme="minorEastAsia"/>
                <w:spacing w:val="-20"/>
                <w:sz w:val="20"/>
                <w:szCs w:val="20"/>
              </w:rPr>
              <w:t>（盖章）</w:t>
            </w:r>
            <w:r>
              <w:rPr>
                <w:rFonts w:hint="eastAsia" w:asciiTheme="minorEastAsia" w:hAnsiTheme="minorEastAsia" w:cstheme="minorEastAsia"/>
                <w:sz w:val="20"/>
                <w:szCs w:val="20"/>
              </w:rPr>
              <w:t>:</w:t>
            </w:r>
          </w:p>
          <w:p w14:paraId="4E8EFE03">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地址：</w:t>
            </w:r>
          </w:p>
          <w:p w14:paraId="5EB39074">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代表人（签字）：</w:t>
            </w:r>
          </w:p>
          <w:p w14:paraId="29B9AA67">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电话：</w:t>
            </w:r>
          </w:p>
          <w:p w14:paraId="52CAF959">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开户银行：</w:t>
            </w:r>
          </w:p>
          <w:p w14:paraId="4FCCB38F">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账号：</w:t>
            </w:r>
          </w:p>
        </w:tc>
        <w:tc>
          <w:tcPr>
            <w:tcW w:w="4643" w:type="dxa"/>
          </w:tcPr>
          <w:p w14:paraId="7B1141D3">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乙方名称</w:t>
            </w:r>
            <w:r>
              <w:rPr>
                <w:rFonts w:hint="eastAsia" w:asciiTheme="minorEastAsia" w:hAnsiTheme="minorEastAsia" w:cstheme="minorEastAsia"/>
                <w:spacing w:val="-20"/>
                <w:sz w:val="20"/>
                <w:szCs w:val="20"/>
              </w:rPr>
              <w:t>（盖章）</w:t>
            </w:r>
            <w:r>
              <w:rPr>
                <w:rFonts w:hint="eastAsia" w:asciiTheme="minorEastAsia" w:hAnsiTheme="minorEastAsia" w:cstheme="minorEastAsia"/>
                <w:sz w:val="20"/>
                <w:szCs w:val="20"/>
              </w:rPr>
              <w:t>:</w:t>
            </w:r>
          </w:p>
          <w:p w14:paraId="6017236D">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地址：</w:t>
            </w:r>
          </w:p>
          <w:p w14:paraId="72B6FC76">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代表人（签字）：</w:t>
            </w:r>
          </w:p>
          <w:p w14:paraId="71004256">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电话：</w:t>
            </w:r>
          </w:p>
          <w:p w14:paraId="31FDC6AB">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开户银行：</w:t>
            </w:r>
          </w:p>
          <w:p w14:paraId="6FBB5779">
            <w:pPr>
              <w:autoSpaceDE w:val="0"/>
              <w:autoSpaceDN w:val="0"/>
              <w:snapToGrid w:val="0"/>
              <w:spacing w:line="360" w:lineRule="auto"/>
              <w:ind w:right="-154"/>
              <w:textAlignment w:val="bottom"/>
              <w:rPr>
                <w:rFonts w:hint="eastAsia" w:asciiTheme="minorEastAsia" w:hAnsiTheme="minorEastAsia" w:cstheme="minorEastAsia"/>
                <w:sz w:val="20"/>
                <w:szCs w:val="20"/>
              </w:rPr>
            </w:pPr>
            <w:r>
              <w:rPr>
                <w:rFonts w:hint="eastAsia" w:asciiTheme="minorEastAsia" w:hAnsiTheme="minorEastAsia" w:cstheme="minorEastAsia"/>
                <w:sz w:val="20"/>
                <w:szCs w:val="20"/>
              </w:rPr>
              <w:t>账号：</w:t>
            </w:r>
          </w:p>
        </w:tc>
      </w:tr>
    </w:tbl>
    <w:p w14:paraId="05C0CB3B">
      <w:pPr>
        <w:tabs>
          <w:tab w:val="left" w:pos="8391"/>
        </w:tabs>
        <w:autoSpaceDE w:val="0"/>
        <w:autoSpaceDN w:val="0"/>
        <w:snapToGrid w:val="0"/>
        <w:spacing w:line="360" w:lineRule="auto"/>
        <w:ind w:right="-69" w:firstLine="400" w:firstLineChars="200"/>
        <w:textAlignment w:val="bottom"/>
        <w:rPr>
          <w:rFonts w:hint="eastAsia" w:asciiTheme="minorEastAsia" w:hAnsiTheme="minorEastAsia" w:cstheme="minorEastAsia"/>
          <w:sz w:val="20"/>
          <w:szCs w:val="20"/>
        </w:rPr>
      </w:pPr>
    </w:p>
    <w:bookmarkEnd w:id="0"/>
    <w:p w14:paraId="6366DE52">
      <w:pPr>
        <w:tabs>
          <w:tab w:val="left" w:pos="735"/>
        </w:tabs>
        <w:autoSpaceDE w:val="0"/>
        <w:autoSpaceDN w:val="0"/>
        <w:adjustRightInd w:val="0"/>
        <w:snapToGrid w:val="0"/>
        <w:spacing w:before="312" w:beforeLines="100" w:line="360" w:lineRule="auto"/>
        <w:ind w:firstLine="629"/>
      </w:pPr>
    </w:p>
    <w:p w14:paraId="5A0DF72B"/>
    <w:p w14:paraId="08F1DDE1">
      <w:pPr>
        <w:pStyle w:val="5"/>
      </w:pPr>
    </w:p>
    <w:p w14:paraId="4DE9B0C9">
      <w:pPr>
        <w:pStyle w:val="5"/>
        <w:rPr>
          <w:rFonts w:hint="eastAsia"/>
          <w:lang w:val="en-US" w:eastAsia="zh-Hans"/>
        </w:rPr>
      </w:pPr>
      <w:r>
        <w:rPr>
          <w:rFonts w:ascii="仿宋_GB2312" w:hAnsi="仿宋_GB2312" w:eastAsia="仿宋_GB2312" w:cs="仿宋_GB2312"/>
        </w:rPr>
        <w:t xml:space="preserve"> </w:t>
      </w:r>
      <w:r>
        <w:rPr>
          <w:rFonts w:ascii="仿宋_GB2312" w:hAnsi="仿宋_GB2312" w:eastAsia="仿宋_GB2312" w:cs="仿宋_GB2312"/>
        </w:rPr>
        <w:br w:type="textWrapping"/>
      </w:r>
    </w:p>
    <w:p w14:paraId="010DF5A8">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9B3388"/>
    <w:rsid w:val="12CB432C"/>
    <w:rsid w:val="2F9B3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outlineLvl w:val="0"/>
    </w:pPr>
    <w:rPr>
      <w:rFonts w:ascii="Calibri" w:hAnsi="Calibri" w:eastAsia="宋体" w:cs="Times New Roman"/>
      <w:b/>
      <w:kern w:val="44"/>
      <w:sz w:val="4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2026-04-24T10:09:00Z</dcterms:created>
  <dc:creator>墨瞳</dc:creator>
  <cp:lastModifiedBy>墨瞳</cp:lastModifiedBy>
  <dcterms:modified xsi:type="dcterms:W3CDTF">2026-04-24T10:09:47Z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3551B5F117994EFA92F40C923BC198D9_11</vt:lpwstr>
  </property>
  <property fmtid="{D5CDD505-2E9C-101B-9397-08002B2CF9AE}" pid="4" name="KSOTemplateDocerSaveRecord">
    <vt:lpwstr>eyJoZGlkIjoiMjA4MzRlNzhiNjUwMmM3YTFhOWQxZGRlMjg5MGJlZWIiLCJ1c2VySWQiOiIyMjc2NzU3NzIifQ==</vt:lpwstr>
  </property>
</Properties>
</file>