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版本号：ZHZB-2026-03520260428001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2026年体育赛事及体育活动</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ZHZB-2026-035</w:t>
      </w:r>
      <w:r>
        <w:br/>
      </w:r>
      <w:r>
        <w:br/>
      </w:r>
      <w:r>
        <w:br/>
      </w:r>
    </w:p>
    <w:p>
      <w:pPr>
        <w:pStyle w:val="null3"/>
        <w:jc w:val="center"/>
        <w:outlineLvl w:val="2"/>
      </w:pPr>
      <w:r>
        <w:rPr>
          <w:rFonts w:ascii="仿宋_GB2312" w:hAnsi="仿宋_GB2312" w:cs="仿宋_GB2312" w:eastAsia="仿宋_GB2312"/>
          <w:sz w:val="28"/>
          <w:b/>
        </w:rPr>
        <w:t>西安市雁塔区文化和旅游体育局</w:t>
      </w:r>
    </w:p>
    <w:p>
      <w:pPr>
        <w:pStyle w:val="null3"/>
        <w:jc w:val="center"/>
        <w:outlineLvl w:val="2"/>
      </w:pPr>
      <w:r>
        <w:rPr>
          <w:rFonts w:ascii="仿宋_GB2312" w:hAnsi="仿宋_GB2312" w:cs="仿宋_GB2312" w:eastAsia="仿宋_GB2312"/>
          <w:sz w:val="28"/>
          <w:b/>
        </w:rPr>
        <w:t>众合国际项目管理有限公司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众合国际项目管理有限公司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西安市雁塔区文化和旅游体育局</w:t>
      </w:r>
      <w:r>
        <w:rPr>
          <w:rFonts w:ascii="仿宋_GB2312" w:hAnsi="仿宋_GB2312" w:cs="仿宋_GB2312" w:eastAsia="仿宋_GB2312"/>
        </w:rPr>
        <w:t>委托，拟对</w:t>
      </w:r>
      <w:r>
        <w:rPr>
          <w:rFonts w:ascii="仿宋_GB2312" w:hAnsi="仿宋_GB2312" w:cs="仿宋_GB2312" w:eastAsia="仿宋_GB2312"/>
        </w:rPr>
        <w:t>2026年体育赛事及体育活动</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ZHZB-2026-035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2026年体育赛事及体育活动</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认真贯彻落实全民健身和健康中国国家战略，《关于构建更高水平的全民健身公共服务体系的意见》、《全国足球发展重点城市建设工作方案》，进一步引导群众参与体育活动，营造浓郁的全民健身氛围，倡导绿色低碳的生活理念，雁塔区拟举办丰富多彩的体育赛事及体育活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采购包1（举办雁塔区青少年足球联赛）：属于专门面向中小企业采购。</w:t>
      </w:r>
    </w:p>
    <w:p>
      <w:pPr>
        <w:pStyle w:val="null3"/>
      </w:pPr>
      <w:r>
        <w:rPr>
          <w:rFonts w:ascii="仿宋_GB2312" w:hAnsi="仿宋_GB2312" w:cs="仿宋_GB2312" w:eastAsia="仿宋_GB2312"/>
        </w:rPr>
        <w:t>采购包2（举办各类全民健身活动及群众性赛事活动）：属于专门面向中小企业采购。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格要求：（1）供应商的营业执照等证明文件，自然人的身份证明；（2）法定代表人参加磋商的，提供本人身份证复印件；法定代表人授权他人参加磋商的，提供法定代表人委托授权书并出示被授权代表的身份证复印件；（3）提供2024或2025全年度经审计的财务会计报告或其提交响应文件截止时间前3个月内银行出具的资信证明。（4）税收缴纳证明：提供磋商截止时间前半年内任意一个月的纳税证明或完税证明，依法免税的单位应提供相关证明材料；（5）社会保障资金缴纳证明：提供磋商截止时间前半年内任意一个月的社会保障资金缴存单据或社保机构开具的社会保险参保缴费情况证明，依法不需要缴纳社会保障资金的单位应提供相关证明材料；（6）具备履行合同所必需的设备和专业技术能力的证明；（7）参加本次招标前3年内，在经营活动中没有重大违法记录的书面声明；（8）供应商未被“信用中国”网站列入失信被执行人、重大税收违法失信主体名单，未被“中国政府采购网”网站列入政府采购严重违法失信行为记录名单；（9）单位负责人为同一人或者存在直接控股、管理关系的不同供应商，不得参加同一合同项下的采购活动；（10）本项目不接受联合体磋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资格要求：（1）供应商的营业执照等证明文件，自然人的身份证明；（2）法定代表人参加磋商的，提供本人身份证复印件；法定代表人授权他人参加磋商的，提供法定代表人委托授权书并出示被授权代表的身份证复印件；（3）提供2024或2025全年度经审计的财务会计报告或其提交响应文件截止时间前3个月内银行出具的资信证明。（4）税收缴纳证明：提供磋商截止时间前半年内任意一个月的纳税证明或完税证明，依法免税的单位应提供相关证明材料；（5）社会保障资金缴纳证明：提供磋商截止时间前半年内任意一个月的社会保障资金缴存单据或社保机构开具的社会保险参保缴费情况证明，依法不需要缴纳社会保障资金的单位应提供相关证明材料；（6）具备履行合同所必需的设备和专业技术能力的证明；（7）参加本次招标前3年内，在经营活动中没有重大违法记录的书面声明；（8）供应商未被“信用中国”网站列入失信被执行人、重大税收违法失信主体名单，未被“中国政府采购网”网站列入政府采购严重违法失信行为记录名单；（9）单位负责人为同一人或者存在直接控股、管理关系的不同供应商，不得参加同一合同项下的采购活动；（10）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西安市雁塔区文化和旅游体育局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西安市雁塔区电子二路32号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闫飞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029-85245904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众合国际项目管理有限公司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陕西省西安市莲湖区丰登南路3号1幢306室（丰庆公园北门往西200米PM中心三楼）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唐昊、王臻、王阿磊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15686470916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采购包1：200,000.00元</w:t>
            </w:r>
          </w:p>
          <w:p>
            <w:pPr>
              <w:pStyle w:val="null3"/>
            </w:pPr>
            <w:r>
              <w:rPr>
                <w:rFonts w:ascii="仿宋_GB2312" w:hAnsi="仿宋_GB2312" w:cs="仿宋_GB2312" w:eastAsia="仿宋_GB2312"/>
              </w:rPr>
              <w:t>采购包2：409,300.00元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参照国家发展计划委员会计价格[2002]1980号文件及国家发展和改革委员会办公厅颁发的《关于降低部分建设项目收费标准规范收费行为等有关问题的通知》（发改价格[2011]534号）的规定服务类标准，按采购包收取。按上述标准计算的代理服务费低于人民币陆仟伍佰元按照陆仟伍佰元（￥6500元）收取。 代理服务费缴纳账户信息： 银行户名：众合国际项目管理有限公司 开户银行：西安银行股份有限公司高新四路支行 账 号：6110 1158 0000 0858 34</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西安市雁塔区文化和旅游体育局</w:t>
      </w:r>
      <w:r>
        <w:rPr>
          <w:rFonts w:ascii="仿宋_GB2312" w:hAnsi="仿宋_GB2312" w:cs="仿宋_GB2312" w:eastAsia="仿宋_GB2312"/>
        </w:rPr>
        <w:t>和</w:t>
      </w:r>
      <w:r>
        <w:rPr>
          <w:rFonts w:ascii="仿宋_GB2312" w:hAnsi="仿宋_GB2312" w:cs="仿宋_GB2312" w:eastAsia="仿宋_GB2312"/>
        </w:rPr>
        <w:t>众合国际项目管理有限公司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西安市雁塔区文化和旅游体育局</w:t>
      </w:r>
      <w:r>
        <w:rPr>
          <w:rFonts w:ascii="仿宋_GB2312" w:hAnsi="仿宋_GB2312" w:cs="仿宋_GB2312" w:eastAsia="仿宋_GB2312"/>
        </w:rPr>
        <w:t>负责解释。除上述磋商文件内容，其他内容由</w:t>
      </w:r>
      <w:r>
        <w:rPr>
          <w:rFonts w:ascii="仿宋_GB2312" w:hAnsi="仿宋_GB2312" w:cs="仿宋_GB2312" w:eastAsia="仿宋_GB2312"/>
        </w:rPr>
        <w:t>众合国际项目管理有限公司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西安市雁塔区文化和旅游体育局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众合国际项目管理有限公司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商提供的服务最终验收达不到磋商文件要求和响应文件承诺及国家或行业标准，或在使用中发现采购人不能容忍的缺陷等，将视为验收不合格，服务商应在采购人要求的时间内无条件完善或要求赔付采购人损失。2、若发现服务商有弄虚作假的，以及在项目实施阶段故意或随意夸大服务，本项目合同解除，服务商赔偿采购人相应的损失。3、验收标准：按竞争性磋商文件、响应文件等服务指标进行逐项验收，各项指标均应符合验收标准及要求。4、验收合格后，填写验收单，双方盖章、签字生效。5、验收依据：（1）合同文本；（2）响应文件、竞争性磋商文件、澄清函（若有）；（3）国家和行业制定的相应的标准和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服务商提供的服务最终验收达不到磋商文件要求和响应文件承诺及国家或行业标准，或在使用中发现采购人不能容忍的缺陷等，将视为验收不合格，服务商应在采购人要求的时间内无条件完善或要求赔付采购人损失。2、若发现服务商有弄虚作假的，以及在项目实施阶段故意或随意夸大服务，本项目合同解除，服务商赔偿采购人相应的损失。3、验收标准：按竞争性磋商文件、响应文件等服务指标进行逐项验收，各项指标均应符合验收标准及要求。4、验收合格后，填写验收单，双方盖章、签字生效。5、验收依据：（1）合同文本；（2）响应文件、竞争性磋商文件、澄清函（若有）；（3）国家和行业制定的相应的标准和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众合国际项目管理有限公司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众合国际项目管理有限公司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众合国际项目管理有限公司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联系人：唐昊、王臻、王阿磊</w:t>
      </w:r>
    </w:p>
    <w:p>
      <w:pPr>
        <w:pStyle w:val="null3"/>
      </w:pPr>
      <w:r>
        <w:rPr>
          <w:rFonts w:ascii="仿宋_GB2312" w:hAnsi="仿宋_GB2312" w:cs="仿宋_GB2312" w:eastAsia="仿宋_GB2312"/>
        </w:rPr>
        <w:t>联系电话：15686470916</w:t>
      </w:r>
    </w:p>
    <w:p>
      <w:pPr>
        <w:pStyle w:val="null3"/>
      </w:pPr>
      <w:r>
        <w:rPr>
          <w:rFonts w:ascii="仿宋_GB2312" w:hAnsi="仿宋_GB2312" w:cs="仿宋_GB2312" w:eastAsia="仿宋_GB2312"/>
        </w:rPr>
        <w:t>地址：陕西省西安市莲湖区丰登南路3号1幢306室（丰庆公园北门往西200米PM中心三楼）</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认真贯彻落实全民健身和健康中国国家战略，《关于构建更高水平的全民健身公共服务体系的意见》、《全国足球发展重点城市建设工作方案》，进一步引导群众参与体育活动，营造浓郁的全民健身氛围，倡导绿色低碳的生活理念，雁塔区拟举办丰富多彩的体育赛事及体育活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雁塔区青少年足球联赛</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409,300.00</w:t>
      </w:r>
    </w:p>
    <w:p>
      <w:pPr>
        <w:pStyle w:val="null3"/>
      </w:pPr>
      <w:r>
        <w:rPr>
          <w:rFonts w:ascii="仿宋_GB2312" w:hAnsi="仿宋_GB2312" w:cs="仿宋_GB2312" w:eastAsia="仿宋_GB2312"/>
        </w:rPr>
        <w:t>采购包最高限价（元）: 409,300.00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各类全民健身活动及群众性赛事活动</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409,300.00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标的名称：雁塔区青少年足球联赛</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color w:val="0000FF"/>
              </w:rPr>
              <w:t>一、服务内容</w:t>
            </w:r>
          </w:p>
          <w:p>
            <w:pPr>
              <w:pStyle w:val="null3"/>
              <w:ind w:firstLine="420"/>
            </w:pPr>
            <w:r>
              <w:rPr>
                <w:rFonts w:ascii="仿宋_GB2312" w:hAnsi="仿宋_GB2312" w:cs="仿宋_GB2312" w:eastAsia="仿宋_GB2312"/>
                <w:sz w:val="20"/>
                <w:color w:val="0000FF"/>
              </w:rPr>
              <w:t>按照全国足球发展重点城市工作会议精神和《西安市足球改革发展实施方案》《西安建设全国足球发展重点城市工作实施方案》等要求，开展</w:t>
            </w:r>
            <w:r>
              <w:rPr>
                <w:rFonts w:ascii="仿宋_GB2312" w:hAnsi="仿宋_GB2312" w:cs="仿宋_GB2312" w:eastAsia="仿宋_GB2312"/>
                <w:sz w:val="20"/>
                <w:color w:val="0000FF"/>
              </w:rPr>
              <w:t>2026年西安市雁塔区青少年足球联赛。</w:t>
            </w:r>
          </w:p>
          <w:p>
            <w:pPr>
              <w:pStyle w:val="null3"/>
              <w:ind w:firstLine="420"/>
            </w:pPr>
            <w:r>
              <w:rPr>
                <w:rFonts w:ascii="仿宋_GB2312" w:hAnsi="仿宋_GB2312" w:cs="仿宋_GB2312" w:eastAsia="仿宋_GB2312"/>
                <w:sz w:val="20"/>
                <w:color w:val="0000FF"/>
              </w:rPr>
              <w:t>（一）赛事内容：比赛设足球五人制、十一人制</w:t>
            </w:r>
            <w:r>
              <w:rPr>
                <w:rFonts w:ascii="仿宋_GB2312" w:hAnsi="仿宋_GB2312" w:cs="仿宋_GB2312" w:eastAsia="仿宋_GB2312"/>
                <w:sz w:val="20"/>
                <w:color w:val="0000FF"/>
              </w:rPr>
              <w:t>2个竞赛项目。按年龄设U8、U9、U10、U11、U12、U13、U14、U15、U16、U18组，各组分设男、女2个组别（具体已报名情况为准）。</w:t>
            </w:r>
          </w:p>
          <w:p>
            <w:pPr>
              <w:pStyle w:val="null3"/>
              <w:ind w:firstLine="420"/>
            </w:pPr>
            <w:r>
              <w:rPr>
                <w:rFonts w:ascii="仿宋_GB2312" w:hAnsi="仿宋_GB2312" w:cs="仿宋_GB2312" w:eastAsia="仿宋_GB2312"/>
                <w:sz w:val="20"/>
                <w:color w:val="0000FF"/>
              </w:rPr>
              <w:t>（二）竞赛办法：执行国际足球理事会和中国足球协会最新审定的《足球竞赛规则》。</w:t>
            </w:r>
          </w:p>
          <w:p>
            <w:pPr>
              <w:pStyle w:val="null3"/>
              <w:ind w:firstLine="420"/>
            </w:pPr>
            <w:r>
              <w:rPr>
                <w:rFonts w:ascii="仿宋_GB2312" w:hAnsi="仿宋_GB2312" w:cs="仿宋_GB2312" w:eastAsia="仿宋_GB2312"/>
                <w:sz w:val="20"/>
                <w:color w:val="0000FF"/>
              </w:rPr>
              <w:t>（三）奖励办法：</w:t>
            </w:r>
          </w:p>
          <w:p>
            <w:pPr>
              <w:pStyle w:val="null3"/>
              <w:ind w:firstLine="420"/>
            </w:pPr>
            <w:r>
              <w:rPr>
                <w:rFonts w:ascii="仿宋_GB2312" w:hAnsi="仿宋_GB2312" w:cs="仿宋_GB2312" w:eastAsia="仿宋_GB2312"/>
                <w:sz w:val="20"/>
                <w:color w:val="0000FF"/>
              </w:rPr>
              <w:t>1、各组别冠、亚、季军代表队获得奖杯，队员获得奖牌和证书，其余奖项根据报名情况、比赛情况及相关规定合理设置。</w:t>
            </w:r>
          </w:p>
          <w:p>
            <w:pPr>
              <w:pStyle w:val="null3"/>
              <w:ind w:firstLine="420"/>
            </w:pPr>
            <w:r>
              <w:rPr>
                <w:rFonts w:ascii="仿宋_GB2312" w:hAnsi="仿宋_GB2312" w:cs="仿宋_GB2312" w:eastAsia="仿宋_GB2312"/>
                <w:sz w:val="20"/>
                <w:color w:val="0000FF"/>
              </w:rPr>
              <w:t>2、本次比赛优胜队伍及选拔出来的优秀球员将有机会代表雁塔区参加市级比赛。</w:t>
            </w:r>
          </w:p>
          <w:p>
            <w:pPr>
              <w:pStyle w:val="null3"/>
              <w:ind w:firstLine="420"/>
            </w:pPr>
            <w:r>
              <w:rPr>
                <w:rFonts w:ascii="仿宋_GB2312" w:hAnsi="仿宋_GB2312" w:cs="仿宋_GB2312" w:eastAsia="仿宋_GB2312"/>
                <w:sz w:val="20"/>
                <w:color w:val="0000FF"/>
              </w:rPr>
              <w:t>（四）工作内容及要求：</w:t>
            </w:r>
          </w:p>
          <w:p>
            <w:pPr>
              <w:pStyle w:val="null3"/>
              <w:ind w:firstLine="420"/>
            </w:pPr>
            <w:r>
              <w:rPr>
                <w:rFonts w:ascii="仿宋_GB2312" w:hAnsi="仿宋_GB2312" w:cs="仿宋_GB2312" w:eastAsia="仿宋_GB2312"/>
                <w:sz w:val="20"/>
                <w:color w:val="0000FF"/>
              </w:rPr>
              <w:t>1、负责根据赛事的设计策划、竞赛规程，制定赛事执行方案。</w:t>
            </w:r>
          </w:p>
          <w:p>
            <w:pPr>
              <w:pStyle w:val="null3"/>
              <w:ind w:firstLine="420"/>
            </w:pPr>
            <w:r>
              <w:rPr>
                <w:rFonts w:ascii="仿宋_GB2312" w:hAnsi="仿宋_GB2312" w:cs="仿宋_GB2312" w:eastAsia="仿宋_GB2312"/>
                <w:sz w:val="20"/>
                <w:color w:val="0000FF"/>
              </w:rPr>
              <w:t>2、负责赛事组织执行，报名资料收集、裁判和工作人员选派、成绩统计及发布等。</w:t>
            </w:r>
          </w:p>
          <w:p>
            <w:pPr>
              <w:pStyle w:val="null3"/>
              <w:ind w:firstLine="420"/>
            </w:pPr>
            <w:r>
              <w:rPr>
                <w:rFonts w:ascii="仿宋_GB2312" w:hAnsi="仿宋_GB2312" w:cs="仿宋_GB2312" w:eastAsia="仿宋_GB2312"/>
                <w:sz w:val="20"/>
                <w:color w:val="0000FF"/>
              </w:rPr>
              <w:t>3、负责赛事配套开闭幕式活动的策划与组织实施。</w:t>
            </w:r>
          </w:p>
          <w:p>
            <w:pPr>
              <w:pStyle w:val="null3"/>
              <w:ind w:firstLine="420"/>
            </w:pPr>
            <w:r>
              <w:rPr>
                <w:rFonts w:ascii="仿宋_GB2312" w:hAnsi="仿宋_GB2312" w:cs="仿宋_GB2312" w:eastAsia="仿宋_GB2312"/>
                <w:sz w:val="20"/>
                <w:color w:val="0000FF"/>
              </w:rPr>
              <w:t>4、工作方案及要求：</w:t>
            </w:r>
          </w:p>
          <w:p>
            <w:pPr>
              <w:pStyle w:val="null3"/>
              <w:ind w:firstLine="420"/>
            </w:pPr>
            <w:r>
              <w:rPr>
                <w:rFonts w:ascii="仿宋_GB2312" w:hAnsi="仿宋_GB2312" w:cs="仿宋_GB2312" w:eastAsia="仿宋_GB2312"/>
                <w:sz w:val="20"/>
                <w:color w:val="0000FF"/>
              </w:rPr>
              <w:t>（</w:t>
            </w:r>
            <w:r>
              <w:rPr>
                <w:rFonts w:ascii="仿宋_GB2312" w:hAnsi="仿宋_GB2312" w:cs="仿宋_GB2312" w:eastAsia="仿宋_GB2312"/>
                <w:sz w:val="20"/>
                <w:color w:val="0000FF"/>
              </w:rPr>
              <w:t>1）竞赛工作方案（包括竞赛日程，裁判员安排，竞赛所需器材准备，赛事秩序册设计制作，赛场布置实施方案，奖品颁发方案等）。</w:t>
            </w:r>
          </w:p>
          <w:p>
            <w:pPr>
              <w:pStyle w:val="null3"/>
              <w:ind w:firstLine="420"/>
            </w:pPr>
            <w:r>
              <w:rPr>
                <w:rFonts w:ascii="仿宋_GB2312" w:hAnsi="仿宋_GB2312" w:cs="仿宋_GB2312" w:eastAsia="仿宋_GB2312"/>
                <w:sz w:val="20"/>
                <w:color w:val="0000FF"/>
              </w:rPr>
              <w:t>（</w:t>
            </w:r>
            <w:r>
              <w:rPr>
                <w:rFonts w:ascii="仿宋_GB2312" w:hAnsi="仿宋_GB2312" w:cs="仿宋_GB2312" w:eastAsia="仿宋_GB2312"/>
                <w:sz w:val="20"/>
                <w:color w:val="0000FF"/>
              </w:rPr>
              <w:t>2）赛事保障工作方案（包括赛事宣传搭建，救护车，现场电器音响设置，赛场裁判员，工作室及卫生间等方案）。</w:t>
            </w:r>
          </w:p>
          <w:p>
            <w:pPr>
              <w:pStyle w:val="null3"/>
              <w:ind w:firstLine="420"/>
            </w:pPr>
            <w:r>
              <w:rPr>
                <w:rFonts w:ascii="仿宋_GB2312" w:hAnsi="仿宋_GB2312" w:cs="仿宋_GB2312" w:eastAsia="仿宋_GB2312"/>
                <w:sz w:val="20"/>
                <w:color w:val="0000FF"/>
              </w:rPr>
              <w:t>（</w:t>
            </w:r>
            <w:r>
              <w:rPr>
                <w:rFonts w:ascii="仿宋_GB2312" w:hAnsi="仿宋_GB2312" w:cs="仿宋_GB2312" w:eastAsia="仿宋_GB2312"/>
                <w:sz w:val="20"/>
                <w:color w:val="0000FF"/>
              </w:rPr>
              <w:t>3）安保工作方案（包括观众区域确定，围场区域的安排，现场秩序维护等），赛事过程中须做好安全保卫工作，因安保工作不到位发生的安全事故由中标人承担责任。</w:t>
            </w:r>
          </w:p>
          <w:p>
            <w:pPr>
              <w:pStyle w:val="null3"/>
              <w:ind w:firstLine="420"/>
            </w:pPr>
            <w:r>
              <w:rPr>
                <w:rFonts w:ascii="仿宋_GB2312" w:hAnsi="仿宋_GB2312" w:cs="仿宋_GB2312" w:eastAsia="仿宋_GB2312"/>
                <w:sz w:val="20"/>
                <w:color w:val="0000FF"/>
              </w:rPr>
              <w:t>（</w:t>
            </w:r>
            <w:r>
              <w:rPr>
                <w:rFonts w:ascii="仿宋_GB2312" w:hAnsi="仿宋_GB2312" w:cs="仿宋_GB2312" w:eastAsia="仿宋_GB2312"/>
                <w:sz w:val="20"/>
                <w:color w:val="0000FF"/>
              </w:rPr>
              <w:t>4）应急管理工作方案和赛事中突发事件的工作方案。</w:t>
            </w:r>
          </w:p>
          <w:p>
            <w:pPr>
              <w:pStyle w:val="null3"/>
              <w:jc w:val="both"/>
            </w:pPr>
            <w:r>
              <w:rPr>
                <w:rFonts w:ascii="仿宋_GB2312" w:hAnsi="仿宋_GB2312" w:cs="仿宋_GB2312" w:eastAsia="仿宋_GB2312"/>
                <w:sz w:val="20"/>
                <w:b/>
                <w:color w:val="0000FF"/>
              </w:rPr>
              <w:t>二、服务要求</w:t>
            </w:r>
          </w:p>
          <w:p>
            <w:pPr>
              <w:pStyle w:val="null3"/>
              <w:ind w:firstLine="420"/>
            </w:pPr>
            <w:r>
              <w:rPr>
                <w:rFonts w:ascii="仿宋_GB2312" w:hAnsi="仿宋_GB2312" w:cs="仿宋_GB2312" w:eastAsia="仿宋_GB2312"/>
                <w:sz w:val="20"/>
                <w:color w:val="0000FF"/>
              </w:rPr>
              <w:t>1、提供优质的体育赛事、体育活动服务。</w:t>
            </w:r>
          </w:p>
          <w:p>
            <w:pPr>
              <w:pStyle w:val="null3"/>
              <w:ind w:firstLine="420"/>
            </w:pPr>
            <w:r>
              <w:rPr>
                <w:rFonts w:ascii="仿宋_GB2312" w:hAnsi="仿宋_GB2312" w:cs="仿宋_GB2312" w:eastAsia="仿宋_GB2312"/>
                <w:sz w:val="20"/>
                <w:color w:val="0000FF"/>
              </w:rPr>
              <w:t>2、提供清晰的体育赛事、体育活动信息，包括规程、方案等。</w:t>
            </w:r>
          </w:p>
          <w:p>
            <w:pPr>
              <w:pStyle w:val="null3"/>
              <w:ind w:firstLine="420"/>
            </w:pPr>
            <w:r>
              <w:rPr>
                <w:rFonts w:ascii="仿宋_GB2312" w:hAnsi="仿宋_GB2312" w:cs="仿宋_GB2312" w:eastAsia="仿宋_GB2312"/>
                <w:sz w:val="20"/>
                <w:color w:val="0000FF"/>
              </w:rPr>
              <w:t>3、确保体育比赛、体育活动场地和设施的安全。</w:t>
            </w:r>
          </w:p>
          <w:p>
            <w:pPr>
              <w:pStyle w:val="null3"/>
              <w:ind w:firstLine="420"/>
            </w:pPr>
            <w:r>
              <w:rPr>
                <w:rFonts w:ascii="仿宋_GB2312" w:hAnsi="仿宋_GB2312" w:cs="仿宋_GB2312" w:eastAsia="仿宋_GB2312"/>
                <w:sz w:val="20"/>
                <w:color w:val="0000FF"/>
              </w:rPr>
              <w:t>4、确保体育比赛、体育活动场地的卫生和整洁。</w:t>
            </w:r>
          </w:p>
          <w:p>
            <w:pPr>
              <w:pStyle w:val="null3"/>
              <w:ind w:firstLine="420"/>
            </w:pPr>
            <w:r>
              <w:rPr>
                <w:rFonts w:ascii="仿宋_GB2312" w:hAnsi="仿宋_GB2312" w:cs="仿宋_GB2312" w:eastAsia="仿宋_GB2312"/>
                <w:sz w:val="20"/>
                <w:color w:val="0000FF"/>
              </w:rPr>
              <w:t>5、确保参与者的体能和健康状况能满足体育比赛、体育活动的要求。</w:t>
            </w:r>
          </w:p>
          <w:p>
            <w:pPr>
              <w:pStyle w:val="null3"/>
              <w:ind w:firstLine="420"/>
            </w:pPr>
            <w:r>
              <w:rPr>
                <w:rFonts w:ascii="仿宋_GB2312" w:hAnsi="仿宋_GB2312" w:cs="仿宋_GB2312" w:eastAsia="仿宋_GB2312"/>
                <w:sz w:val="20"/>
                <w:color w:val="0000FF"/>
              </w:rPr>
              <w:t>6、提供医疗团队和急救服务，确保参与者在比赛、活动中的安全。</w:t>
            </w:r>
          </w:p>
          <w:p>
            <w:pPr>
              <w:pStyle w:val="null3"/>
              <w:ind w:firstLine="420"/>
            </w:pPr>
            <w:r>
              <w:rPr>
                <w:rFonts w:ascii="仿宋_GB2312" w:hAnsi="仿宋_GB2312" w:cs="仿宋_GB2312" w:eastAsia="仿宋_GB2312"/>
                <w:sz w:val="20"/>
                <w:color w:val="0000FF"/>
              </w:rPr>
              <w:t>7、确保赛事结果公平公正，禁止任何形式的舞弊行为。</w:t>
            </w:r>
          </w:p>
          <w:p>
            <w:pPr>
              <w:pStyle w:val="null3"/>
              <w:ind w:firstLine="420"/>
            </w:pPr>
            <w:r>
              <w:rPr>
                <w:rFonts w:ascii="仿宋_GB2312" w:hAnsi="仿宋_GB2312" w:cs="仿宋_GB2312" w:eastAsia="仿宋_GB2312"/>
                <w:sz w:val="20"/>
                <w:color w:val="0000FF"/>
              </w:rPr>
              <w:t>8、提供优质的裁判和工作人员，确保比赛的规范进行。</w:t>
            </w:r>
          </w:p>
          <w:p>
            <w:pPr>
              <w:pStyle w:val="null3"/>
              <w:ind w:firstLine="420"/>
            </w:pPr>
            <w:r>
              <w:rPr>
                <w:rFonts w:ascii="仿宋_GB2312" w:hAnsi="仿宋_GB2312" w:cs="仿宋_GB2312" w:eastAsia="仿宋_GB2312"/>
                <w:sz w:val="20"/>
                <w:color w:val="0000FF"/>
              </w:rPr>
              <w:t>9、提供专业的摄影摄像及媒体服务，记录体育比赛、体育活动精彩瞬间，进行宣传报道。</w:t>
            </w:r>
          </w:p>
          <w:p>
            <w:pPr>
              <w:pStyle w:val="null3"/>
              <w:jc w:val="both"/>
            </w:pPr>
            <w:r>
              <w:rPr>
                <w:rFonts w:ascii="仿宋_GB2312" w:hAnsi="仿宋_GB2312" w:cs="仿宋_GB2312" w:eastAsia="仿宋_GB2312"/>
                <w:sz w:val="20"/>
                <w:b/>
                <w:color w:val="0000FF"/>
              </w:rPr>
              <w:t>三、服务、产品（如有）执行的主要技术标准：</w:t>
            </w:r>
          </w:p>
          <w:p>
            <w:pPr>
              <w:pStyle w:val="null3"/>
              <w:ind w:firstLine="420"/>
            </w:pPr>
            <w:r>
              <w:rPr>
                <w:rFonts w:ascii="仿宋_GB2312" w:hAnsi="仿宋_GB2312" w:cs="仿宋_GB2312" w:eastAsia="仿宋_GB2312"/>
                <w:sz w:val="20"/>
                <w:color w:val="0000FF"/>
              </w:rPr>
              <w:t>服务质量需达到中华人民共和国以及省、市或行业的</w:t>
            </w:r>
            <w:r>
              <w:rPr>
                <w:rFonts w:ascii="仿宋_GB2312" w:hAnsi="仿宋_GB2312" w:cs="仿宋_GB2312" w:eastAsia="仿宋_GB2312"/>
                <w:sz w:val="20"/>
                <w:color w:val="0000FF"/>
              </w:rPr>
              <w:t>“合格”标准或规范的要求。</w:t>
            </w:r>
          </w:p>
          <w:p>
            <w:pPr>
              <w:pStyle w:val="null3"/>
            </w:pPr>
            <w:r>
              <w:rPr>
                <w:rFonts w:ascii="仿宋_GB2312" w:hAnsi="仿宋_GB2312" w:cs="仿宋_GB2312" w:eastAsia="仿宋_GB2312"/>
                <w:sz w:val="20"/>
                <w:b/>
                <w:color w:val="0000FF"/>
              </w:rPr>
              <w:t>四、本项目所属行业：</w:t>
            </w:r>
            <w:r>
              <w:rPr>
                <w:rFonts w:ascii="仿宋_GB2312" w:hAnsi="仿宋_GB2312" w:cs="仿宋_GB2312" w:eastAsia="仿宋_GB2312"/>
                <w:sz w:val="20"/>
                <w:color w:val="0000FF"/>
              </w:rPr>
              <w:t>其他未列明行业（从业人员</w:t>
            </w:r>
            <w:r>
              <w:rPr>
                <w:rFonts w:ascii="仿宋_GB2312" w:hAnsi="仿宋_GB2312" w:cs="仿宋_GB2312" w:eastAsia="仿宋_GB2312"/>
                <w:sz w:val="20"/>
                <w:color w:val="0000FF"/>
              </w:rPr>
              <w:t>300人以下的为中小微型企业。其中，从业人员100人及以上的为中型企业；从业人员10人及以上的为小型企业；从业人员10人以下的为微型企业）</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标的名称：各类全民健身活动及群众性赛事活动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color w:val="0000FF"/>
              </w:rPr>
              <w:t>一、服务内容</w:t>
            </w:r>
          </w:p>
          <w:p>
            <w:pPr>
              <w:pStyle w:val="null3"/>
              <w:ind w:firstLine="420"/>
            </w:pPr>
            <w:r>
              <w:rPr>
                <w:rFonts w:ascii="仿宋_GB2312" w:hAnsi="仿宋_GB2312" w:cs="仿宋_GB2312" w:eastAsia="仿宋_GB2312"/>
                <w:sz w:val="20"/>
                <w:color w:val="0000FF"/>
              </w:rPr>
              <w:t>开展</w:t>
            </w:r>
            <w:r>
              <w:rPr>
                <w:rFonts w:ascii="仿宋_GB2312" w:hAnsi="仿宋_GB2312" w:cs="仿宋_GB2312" w:eastAsia="仿宋_GB2312"/>
                <w:sz w:val="20"/>
                <w:color w:val="0000FF"/>
              </w:rPr>
              <w:t>2026年雁塔区各类相关全民健身活动及群众性赛事，带动基层全民健身活动的开展，采取线上、线下相结合的形式，开展全区联动的系列活动。包括组织承办雁塔区2026年“舞动长安”西安市全民健身技能大赛及组队参加市级总决赛、第十七届“一区一县一品”精品门球大赛、西安市青少年“三跳比赛”（雁塔赛区）、本区相关全国体育场地统计调查、组队参加全国健身球操之乡的赛事等区级全民健身群众性体育活动。营造全民参与、全民健康的良好氛围。包括但不限于：</w:t>
            </w:r>
          </w:p>
          <w:p>
            <w:pPr>
              <w:pStyle w:val="null3"/>
              <w:ind w:firstLine="420"/>
            </w:pPr>
            <w:r>
              <w:rPr>
                <w:rFonts w:ascii="仿宋_GB2312" w:hAnsi="仿宋_GB2312" w:cs="仿宋_GB2312" w:eastAsia="仿宋_GB2312"/>
                <w:sz w:val="20"/>
                <w:color w:val="0000FF"/>
              </w:rPr>
              <w:t>1、媒体宣传；</w:t>
            </w:r>
          </w:p>
          <w:p>
            <w:pPr>
              <w:pStyle w:val="null3"/>
              <w:ind w:firstLine="420"/>
            </w:pPr>
            <w:r>
              <w:rPr>
                <w:rFonts w:ascii="仿宋_GB2312" w:hAnsi="仿宋_GB2312" w:cs="仿宋_GB2312" w:eastAsia="仿宋_GB2312"/>
                <w:sz w:val="20"/>
                <w:color w:val="0000FF"/>
              </w:rPr>
              <w:t>2、会场布置；</w:t>
            </w:r>
          </w:p>
          <w:p>
            <w:pPr>
              <w:pStyle w:val="null3"/>
              <w:ind w:firstLine="420"/>
            </w:pPr>
            <w:r>
              <w:rPr>
                <w:rFonts w:ascii="仿宋_GB2312" w:hAnsi="仿宋_GB2312" w:cs="仿宋_GB2312" w:eastAsia="仿宋_GB2312"/>
                <w:sz w:val="20"/>
                <w:color w:val="0000FF"/>
              </w:rPr>
              <w:t>3、赛场布置：</w:t>
            </w:r>
          </w:p>
          <w:p>
            <w:pPr>
              <w:pStyle w:val="null3"/>
              <w:ind w:firstLine="420"/>
            </w:pPr>
            <w:r>
              <w:rPr>
                <w:rFonts w:ascii="仿宋_GB2312" w:hAnsi="仿宋_GB2312" w:cs="仿宋_GB2312" w:eastAsia="仿宋_GB2312"/>
                <w:sz w:val="20"/>
                <w:color w:val="0000FF"/>
              </w:rPr>
              <w:t>4、裁判、志愿者、安保等人员的组织、培训、安排等；</w:t>
            </w:r>
          </w:p>
          <w:p>
            <w:pPr>
              <w:pStyle w:val="null3"/>
              <w:ind w:firstLine="420"/>
            </w:pPr>
            <w:r>
              <w:rPr>
                <w:rFonts w:ascii="仿宋_GB2312" w:hAnsi="仿宋_GB2312" w:cs="仿宋_GB2312" w:eastAsia="仿宋_GB2312"/>
                <w:sz w:val="20"/>
                <w:color w:val="0000FF"/>
              </w:rPr>
              <w:t>5、参赛人员组织招募、物资准备、奖励安排；</w:t>
            </w:r>
          </w:p>
          <w:p>
            <w:pPr>
              <w:pStyle w:val="null3"/>
              <w:ind w:firstLine="420"/>
            </w:pPr>
            <w:r>
              <w:rPr>
                <w:rFonts w:ascii="仿宋_GB2312" w:hAnsi="仿宋_GB2312" w:cs="仿宋_GB2312" w:eastAsia="仿宋_GB2312"/>
                <w:sz w:val="20"/>
                <w:color w:val="0000FF"/>
              </w:rPr>
              <w:t>6、赛事组织；</w:t>
            </w:r>
          </w:p>
          <w:p>
            <w:pPr>
              <w:pStyle w:val="null3"/>
              <w:ind w:firstLine="420"/>
            </w:pPr>
            <w:r>
              <w:rPr>
                <w:rFonts w:ascii="仿宋_GB2312" w:hAnsi="仿宋_GB2312" w:cs="仿宋_GB2312" w:eastAsia="仿宋_GB2312"/>
                <w:sz w:val="20"/>
                <w:color w:val="0000FF"/>
              </w:rPr>
              <w:t>7、开幕式、颁奖仪式会场安排；</w:t>
            </w:r>
          </w:p>
          <w:p>
            <w:pPr>
              <w:pStyle w:val="null3"/>
              <w:ind w:firstLine="420"/>
            </w:pPr>
            <w:r>
              <w:rPr>
                <w:rFonts w:ascii="仿宋_GB2312" w:hAnsi="仿宋_GB2312" w:cs="仿宋_GB2312" w:eastAsia="仿宋_GB2312"/>
                <w:sz w:val="20"/>
                <w:color w:val="0000FF"/>
              </w:rPr>
              <w:t>8、整个比赛物资准备；</w:t>
            </w:r>
          </w:p>
          <w:p>
            <w:pPr>
              <w:pStyle w:val="null3"/>
              <w:ind w:firstLine="420"/>
            </w:pPr>
            <w:r>
              <w:rPr>
                <w:rFonts w:ascii="仿宋_GB2312" w:hAnsi="仿宋_GB2312" w:cs="仿宋_GB2312" w:eastAsia="仿宋_GB2312"/>
                <w:sz w:val="20"/>
                <w:color w:val="0000FF"/>
              </w:rPr>
              <w:t>9、赛事保险；</w:t>
            </w:r>
          </w:p>
          <w:p>
            <w:pPr>
              <w:pStyle w:val="null3"/>
              <w:ind w:firstLine="420"/>
            </w:pPr>
            <w:r>
              <w:rPr>
                <w:rFonts w:ascii="仿宋_GB2312" w:hAnsi="仿宋_GB2312" w:cs="仿宋_GB2312" w:eastAsia="仿宋_GB2312"/>
                <w:sz w:val="20"/>
                <w:color w:val="0000FF"/>
              </w:rPr>
              <w:t>10、赛事相关审批。</w:t>
            </w:r>
          </w:p>
          <w:p>
            <w:pPr>
              <w:pStyle w:val="null3"/>
              <w:jc w:val="both"/>
            </w:pPr>
            <w:r>
              <w:rPr>
                <w:rFonts w:ascii="仿宋_GB2312" w:hAnsi="仿宋_GB2312" w:cs="仿宋_GB2312" w:eastAsia="仿宋_GB2312"/>
                <w:sz w:val="20"/>
                <w:b/>
                <w:color w:val="0000FF"/>
              </w:rPr>
              <w:t>二、服务要求</w:t>
            </w:r>
          </w:p>
          <w:p>
            <w:pPr>
              <w:pStyle w:val="null3"/>
              <w:ind w:firstLine="420"/>
            </w:pPr>
            <w:r>
              <w:rPr>
                <w:rFonts w:ascii="仿宋_GB2312" w:hAnsi="仿宋_GB2312" w:cs="仿宋_GB2312" w:eastAsia="仿宋_GB2312"/>
                <w:sz w:val="20"/>
                <w:color w:val="0000FF"/>
              </w:rPr>
              <w:t>1、对接全区相关街道、社区以及市级相关单位并组织运动员参与活动和比赛，为参与者及观众提供优质的服务。</w:t>
            </w:r>
          </w:p>
          <w:p>
            <w:pPr>
              <w:pStyle w:val="null3"/>
              <w:ind w:firstLine="420"/>
            </w:pPr>
            <w:r>
              <w:rPr>
                <w:rFonts w:ascii="仿宋_GB2312" w:hAnsi="仿宋_GB2312" w:cs="仿宋_GB2312" w:eastAsia="仿宋_GB2312"/>
                <w:sz w:val="20"/>
                <w:color w:val="0000FF"/>
              </w:rPr>
              <w:t>2、提供清晰的体育活动方案及群众性体育赛事规程，活动、赛事要有新意、能充分调动全民健身的积极性并体现雁塔特色。</w:t>
            </w:r>
          </w:p>
          <w:p>
            <w:pPr>
              <w:pStyle w:val="null3"/>
              <w:ind w:firstLine="420"/>
            </w:pPr>
            <w:r>
              <w:rPr>
                <w:rFonts w:ascii="仿宋_GB2312" w:hAnsi="仿宋_GB2312" w:cs="仿宋_GB2312" w:eastAsia="仿宋_GB2312"/>
                <w:sz w:val="20"/>
                <w:color w:val="0000FF"/>
              </w:rPr>
              <w:t>3、确保各类活动、赛事场地和设施的安全，并保持卫生和整洁。</w:t>
            </w:r>
          </w:p>
          <w:p>
            <w:pPr>
              <w:pStyle w:val="null3"/>
              <w:ind w:firstLine="420"/>
            </w:pPr>
            <w:r>
              <w:rPr>
                <w:rFonts w:ascii="仿宋_GB2312" w:hAnsi="仿宋_GB2312" w:cs="仿宋_GB2312" w:eastAsia="仿宋_GB2312"/>
                <w:sz w:val="20"/>
                <w:color w:val="0000FF"/>
              </w:rPr>
              <w:t>4、按照要求布置标准、合理、突出主题的活动和比赛场地，满足现场各种相关人员及观众的预判容积要求，设置合理的功能区域，预留合理的安全及消防通道，设置引导人员、车辆分流通道。</w:t>
            </w:r>
          </w:p>
          <w:p>
            <w:pPr>
              <w:pStyle w:val="null3"/>
              <w:ind w:firstLine="420"/>
            </w:pPr>
            <w:r>
              <w:rPr>
                <w:rFonts w:ascii="仿宋_GB2312" w:hAnsi="仿宋_GB2312" w:cs="仿宋_GB2312" w:eastAsia="仿宋_GB2312"/>
                <w:sz w:val="20"/>
                <w:color w:val="0000FF"/>
              </w:rPr>
              <w:t>5、提供专业的摄影摄像及媒体服务，记录体育比赛、体育活动精彩瞬间，并通过多渠道方式进行宣传报道，制定丰富的媒体矩阵报道，以文字、图片、视频等形式进行前期预热，活动和比赛过程邀请各大主流媒体现场报道。</w:t>
            </w:r>
          </w:p>
          <w:p>
            <w:pPr>
              <w:pStyle w:val="null3"/>
              <w:ind w:firstLine="420"/>
            </w:pPr>
            <w:r>
              <w:rPr>
                <w:rFonts w:ascii="仿宋_GB2312" w:hAnsi="仿宋_GB2312" w:cs="仿宋_GB2312" w:eastAsia="仿宋_GB2312"/>
                <w:sz w:val="20"/>
                <w:color w:val="0000FF"/>
              </w:rPr>
              <w:t>6、赛事需要提供优质的裁判、工作人员，确保比赛的规范进行，禁止任何形式的舞弊行为。</w:t>
            </w:r>
          </w:p>
          <w:p>
            <w:pPr>
              <w:pStyle w:val="null3"/>
              <w:ind w:firstLine="420"/>
            </w:pPr>
            <w:r>
              <w:rPr>
                <w:rFonts w:ascii="仿宋_GB2312" w:hAnsi="仿宋_GB2312" w:cs="仿宋_GB2312" w:eastAsia="仿宋_GB2312"/>
                <w:sz w:val="20"/>
                <w:color w:val="0000FF"/>
              </w:rPr>
              <w:t>7、费用合理，符合政府、行业协会等规定的标准。如有食宿、集体交通需要，也须符合相关规定。</w:t>
            </w:r>
          </w:p>
          <w:p>
            <w:pPr>
              <w:pStyle w:val="null3"/>
              <w:ind w:firstLine="420"/>
            </w:pPr>
            <w:r>
              <w:rPr>
                <w:rFonts w:ascii="仿宋_GB2312" w:hAnsi="仿宋_GB2312" w:cs="仿宋_GB2312" w:eastAsia="仿宋_GB2312"/>
                <w:sz w:val="20"/>
                <w:color w:val="0000FF"/>
              </w:rPr>
              <w:t>8、根据政府及相关需求，设计、制作符合主题的服装。</w:t>
            </w:r>
          </w:p>
          <w:p>
            <w:pPr>
              <w:pStyle w:val="null3"/>
              <w:ind w:firstLine="420"/>
            </w:pPr>
            <w:r>
              <w:rPr>
                <w:rFonts w:ascii="仿宋_GB2312" w:hAnsi="仿宋_GB2312" w:cs="仿宋_GB2312" w:eastAsia="仿宋_GB2312"/>
                <w:sz w:val="20"/>
                <w:color w:val="0000FF"/>
              </w:rPr>
              <w:t>9、根据相关规则，结合活动、赛事实际情况，提供符合标准和要求的物资。</w:t>
            </w:r>
          </w:p>
          <w:p>
            <w:pPr>
              <w:pStyle w:val="null3"/>
              <w:ind w:firstLine="420"/>
            </w:pPr>
            <w:r>
              <w:rPr>
                <w:rFonts w:ascii="仿宋_GB2312" w:hAnsi="仿宋_GB2312" w:cs="仿宋_GB2312" w:eastAsia="仿宋_GB2312"/>
                <w:sz w:val="20"/>
                <w:color w:val="0000FF"/>
              </w:rPr>
              <w:t>10、根据赛事特点及举办要求，设定合理的奖励办法及奖项设置。</w:t>
            </w:r>
          </w:p>
          <w:p>
            <w:pPr>
              <w:pStyle w:val="null3"/>
              <w:ind w:firstLine="420"/>
            </w:pPr>
            <w:r>
              <w:rPr>
                <w:rFonts w:ascii="仿宋_GB2312" w:hAnsi="仿宋_GB2312" w:cs="仿宋_GB2312" w:eastAsia="仿宋_GB2312"/>
                <w:sz w:val="20"/>
                <w:color w:val="0000FF"/>
              </w:rPr>
              <w:t>11、必须为所有活动及比赛参加人员、裁判、工作人员统一购买专业的商业保险。</w:t>
            </w:r>
          </w:p>
          <w:p>
            <w:pPr>
              <w:pStyle w:val="null3"/>
              <w:ind w:firstLine="420"/>
            </w:pPr>
            <w:r>
              <w:rPr>
                <w:rFonts w:ascii="仿宋_GB2312" w:hAnsi="仿宋_GB2312" w:cs="仿宋_GB2312" w:eastAsia="仿宋_GB2312"/>
                <w:sz w:val="20"/>
                <w:color w:val="0000FF"/>
              </w:rPr>
              <w:t>12、确保参与者的体能和健康状况能满足所参与活动、比赛的要求。</w:t>
            </w:r>
          </w:p>
          <w:p>
            <w:pPr>
              <w:pStyle w:val="null3"/>
              <w:ind w:firstLine="420"/>
            </w:pPr>
            <w:r>
              <w:rPr>
                <w:rFonts w:ascii="仿宋_GB2312" w:hAnsi="仿宋_GB2312" w:cs="仿宋_GB2312" w:eastAsia="仿宋_GB2312"/>
                <w:sz w:val="20"/>
                <w:color w:val="0000FF"/>
              </w:rPr>
              <w:t>13、提供医疗团队和急救服务，配备救护车，确保参与者在活动、比赛中的安全。</w:t>
            </w:r>
          </w:p>
          <w:p>
            <w:pPr>
              <w:pStyle w:val="null3"/>
              <w:ind w:firstLine="420"/>
            </w:pPr>
            <w:r>
              <w:rPr>
                <w:rFonts w:ascii="仿宋_GB2312" w:hAnsi="仿宋_GB2312" w:cs="仿宋_GB2312" w:eastAsia="仿宋_GB2312"/>
                <w:sz w:val="20"/>
                <w:color w:val="0000FF"/>
              </w:rPr>
              <w:t>14、根据活动、赛事特点及政策要求，严格贯彻落实安全保障制度，办理相关赛事审批手续，制定安保保障方案和应急预案，活动、赛事必须安全、有序、顺利的进行。</w:t>
            </w:r>
          </w:p>
          <w:p>
            <w:pPr>
              <w:pStyle w:val="null3"/>
              <w:ind w:firstLine="420"/>
            </w:pPr>
            <w:r>
              <w:rPr>
                <w:rFonts w:ascii="仿宋_GB2312" w:hAnsi="仿宋_GB2312" w:cs="仿宋_GB2312" w:eastAsia="仿宋_GB2312"/>
                <w:sz w:val="20"/>
                <w:color w:val="0000FF"/>
              </w:rPr>
              <w:t>15、提供全程活动、赛事执行。具备完善的赛事服务组织构架，确保赛事组织承办人员专业性。</w:t>
            </w:r>
          </w:p>
          <w:p>
            <w:pPr>
              <w:pStyle w:val="null3"/>
              <w:jc w:val="both"/>
            </w:pPr>
            <w:r>
              <w:rPr>
                <w:rFonts w:ascii="仿宋_GB2312" w:hAnsi="仿宋_GB2312" w:cs="仿宋_GB2312" w:eastAsia="仿宋_GB2312"/>
                <w:sz w:val="20"/>
                <w:b/>
                <w:color w:val="0000FF"/>
              </w:rPr>
              <w:t>三、服务、产品（如有）执行的主要技术标准：</w:t>
            </w:r>
          </w:p>
          <w:p>
            <w:pPr>
              <w:pStyle w:val="null3"/>
              <w:ind w:firstLine="420"/>
            </w:pPr>
            <w:r>
              <w:rPr>
                <w:rFonts w:ascii="仿宋_GB2312" w:hAnsi="仿宋_GB2312" w:cs="仿宋_GB2312" w:eastAsia="仿宋_GB2312"/>
                <w:sz w:val="20"/>
                <w:color w:val="0000FF"/>
              </w:rPr>
              <w:t>服务质量需达到中华人民共和国以及省、市或行业的</w:t>
            </w:r>
            <w:r>
              <w:rPr>
                <w:rFonts w:ascii="仿宋_GB2312" w:hAnsi="仿宋_GB2312" w:cs="仿宋_GB2312" w:eastAsia="仿宋_GB2312"/>
                <w:sz w:val="20"/>
                <w:color w:val="0000FF"/>
              </w:rPr>
              <w:t>“合格”标准或规范的要求。</w:t>
            </w:r>
          </w:p>
          <w:p>
            <w:pPr>
              <w:pStyle w:val="null3"/>
            </w:pPr>
            <w:r>
              <w:rPr>
                <w:rFonts w:ascii="仿宋_GB2312" w:hAnsi="仿宋_GB2312" w:cs="仿宋_GB2312" w:eastAsia="仿宋_GB2312"/>
                <w:sz w:val="20"/>
                <w:b/>
                <w:color w:val="0000FF"/>
              </w:rPr>
              <w:t>四、本项目所属行业：</w:t>
            </w:r>
            <w:r>
              <w:rPr>
                <w:rFonts w:ascii="仿宋_GB2312" w:hAnsi="仿宋_GB2312" w:cs="仿宋_GB2312" w:eastAsia="仿宋_GB2312"/>
                <w:sz w:val="20"/>
                <w:color w:val="0000FF"/>
              </w:rPr>
              <w:t>其他未列明行业（从业人员</w:t>
            </w:r>
            <w:r>
              <w:rPr>
                <w:rFonts w:ascii="仿宋_GB2312" w:hAnsi="仿宋_GB2312" w:cs="仿宋_GB2312" w:eastAsia="仿宋_GB2312"/>
                <w:sz w:val="20"/>
                <w:color w:val="0000FF"/>
              </w:rPr>
              <w:t>300人以下的为中小微型企业。其中，从业人员100人及以上的为中型企业；从业人员10人及以上的为小型企业；从业人员10人以下的为微型企业）</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项目团队建立完善，岗位职责明确，人员充足，确保项目有序运行。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项目团队建立完善，岗位职责明确，人员充足，确保项目有序运行。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根据采购内容匹配相关设备（如需）。</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根据采购内容匹配相关设备（如需）。</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自合同签订之日起至2026年12月31日内完成全部工作。</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自合同签订之日起至2026年12月31日内完成全部工作。</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商提供的服务最终验收达不到磋商文件要求和响应文件承诺及国家或行业标准，或在使用中发现采购人不能容忍的缺陷等，将视为验收不合格，服务商应在采购人要求的时间内无条件完善或要求赔付采购人损失。2、若发现服务商有弄虚作假的，以及在项目实施阶段故意或随意夸大服务，本项目合同解除，服务商赔偿采购人相应的损失。3、验收标准：按竞争性磋商文件、响应文件等服务指标进行逐项验收，各项指标均应符合验收标准及要求。4、验收合格后，填写验收单，双方盖章、签字生效。5、验收依据：（1）合同文本；（2）响应文件、竞争性磋商文件、澄清函（若有）；（3）国家和行业制定的相应的标准和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服务商提供的服务最终验收达不到磋商文件要求和响应文件承诺及国家或行业标准，或在使用中发现采购人不能容忍的缺陷等，将视为验收不合格，服务商应在采购人要求的时间内无条件完善或要求赔付采购人损失。2、若发现服务商有弄虚作假的，以及在项目实施阶段故意或随意夸大服务，本项目合同解除，服务商赔偿采购人相应的损失。3、验收标准：按竞争性磋商文件、响应文件等服务指标进行逐项验收，各项指标均应符合验收标准及要求。4、验收合格后，填写验收单，双方盖章、签字生效。5、验收依据：（1）合同文本；（2）响应文件、竞争性磋商文件、澄清函（若有）；（3）国家和行业制定的相应的标准和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全部工作完成且验收合格，财政资金到位后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全部工作完成且验收合格，财政资金到位后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成交供应商在领取成交通知书时提供纸质版响应文件2套，应通过专用制作软件直接打印，确保与电子投标文件保持一致，不允许修改和补充。提交地点：陕西省西安市莲湖区丰登南路3号1幢306室（丰庆公园北门往西200米PM中心三楼）。三、供应商的磋商报价是供应商响应磋商项目要求的全部工作内容的价格体现，包括供应商完成本项目所需的直接费、间接费、利润、税金及其他相关的一切费用。包括但不限于：人工费、管理费、材料与设备费、保险费、采购代理费、税金、利润、风险、责任等与本项目有关的一切费用。在提供服务的过程中的任何遗漏，均由成交供应商免费提供，采购人将不再支付任何费用。三、磋商有效期1.出现特殊情况需要延长磋商有效期的，采购代理机构或采购人可于磋商有效期满之前，以书面形式通知所有供应商延长磋商有效期。供应商应予书面答复，同意延长的，应相应延长其磋商保证金（若有）有效期，但不得要求或被允许修改其响应文件；供应商拒绝延长的，其响应文件失效，递交磋商保证金的，供应商有权收回其磋商保证金（若有）。2.在磋商有效期内，供应商撤销响应文件的，应承担磋商文件和法律规定的责任。3.成交供应商的磋商有效期自动延长至合同终止为止。四、合格供应商少于3家的处理1.评审过程中，若出现合格供应商只有2家时，符合《政府采购竞争性磋商采购方式管理暂行办法》第3条第4项情形的，或者本项目为政府购买服务指导性目录中的，可以继续进行；只有1家时，采购人应依法重新组织采购活动。2.评审过程中，除符合第1条规定情形外，若出现合格供应商少于3家时，采购人应依法重新组织采购活动。五、分公司独立参与磋商时，不能使用总公司的资质或业绩；总公司授权分公司或分支机构参与磋商，可以使用总公司的资质或业绩。总公司单独参与磋商时，可以使用分公司的业绩，在相关资质证书的管理要求和适用范围内可以使用分公司资质。六、恶意质疑、投诉的法律后果1.对捏造事实、提供虚假材料进行质疑、投诉的行为将予以严肃处理：《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2.对捏造事实诬告陷害他人、诽谤他人的法律适用：（1）《中华人民共和国刑法》第243条【诬告陷害罪】捏造事实诬告陷害他人，意图使他人受刑事追究，情节严重的，处三年以下有期徒刑、拘役或者管制；造成严重后果的，处三年以上十年以下有期徒刑。（2）《中华人民共和国刑法》第246条【侮辱罪、诽谤罪】以暴力或者其他方法公然侮辱他人或者捏造事实诽谤他人，情节严重的，处三年以下有期徒刑、拘役、管制或者剥夺政治权利。七、签名是指手写签名或者加盖名章（含电子签名或电子印章），盖章是指加盖单位印章。八、关于采购文件一次报价出现下列情况的，不需要供应商澄清，按以下原则处理：1.报价中的大写金额和小写金额不一致的，以大写金额为准，但大写金额出现文字错误，导致金额无法判断的除外；2.单价金额小数点或者百分比有明显错位的，应以总价为准，并修改单价；3.总价金额与按单价汇总金额不一致的，以单价汇总金额计算结果为准。同时出现两种以上不一致的，按照前款规定的顺序修正。修正后的报价经加盖供应商（法定名称）电子印章后产生约束力，供应商不确认的，其报价无效。九、最终报价如出现异常低价，执行财库〔2026〕2号《关于推动解决政府采购异常低价问题的通知》，磋商小组可在最后报价审查表中审核是否通过审查。十、本项目需要落实的政府采购政策：（六）需落实的政府采购政策：（1）《政府采购促进中小企业发展管理办法》（财库〔2020〕46号）、《关于进一步加大政府采购支持中小企业力度的通知》（财库〔2022〕19号）；（2）《关于政府采购支持监狱企业发展有关问题的通知》（财库〔2014〕68号）以及《关于促进残疾人就业政府采购政策的通知》（财库〔2017〕141号）；（3）国务院办公厅《关于建立政府强制采购节能产品制度的通知》（国办发〔2007〕51号）、《关于调整优化节能产品、环境标志产品政府采购执行机制的通知》（财库〔2019〕9号）、《关于印发环境标志产品政府采购品目清单的通知》（财库〔2019〕18号）、《关于印发节能产品政府采购品目清单的通知》（财库〔2019〕19号）；（4）陕西省财政厅关于印发《陕西省中小企业政府采购信用融资办法》（陕财办采〔2018〕23号）；（5）其他需要落实的政府采购政策，如有最新颁布的政府采购政策，按最新的文件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供应商应具备《中华人民共和国政府采购法》第二十二条规定的条件： （1）供应商的营业执照等证明文件，自然人的身份证明；（2）法定代表人（单位负责人）参加磋商的，提供本人身份证复印件；法定代表人（单位负责人）授权他人参加磋商的，提供法定代表人（单位负责人）委托授权书及被授权代表的身份证复印件。（3）供应商提供的投标（响应）函；（4）供应商不得被列入“信用中国”网站（https://www.creditchina.gov.cn/ ）“失信被执行人”（页面跳转至“中国执行信息公开网”http://zxgk.court.gov.cn/shixin/）、“重大税收违法失信主体”；不得处于中国政府采购网（http://www.ccgp.gov.cn/)“政府采购严重违法失信行为记录名单”中的禁止参加政府采购活动期间。</w:t>
            </w:r>
          </w:p>
        </w:tc>
        <w:tc>
          <w:tcPr>
            <w:tcW w:type="dxa" w:w="1661"/>
          </w:tcPr>
          <w:p>
            <w:pPr>
              <w:pStyle w:val="null3"/>
            </w:pPr>
            <w:r>
              <w:rPr>
                <w:rFonts w:ascii="仿宋_GB2312" w:hAnsi="仿宋_GB2312" w:cs="仿宋_GB2312" w:eastAsia="仿宋_GB2312"/>
              </w:rPr>
              <w:t>资格证明部分.docx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提供2024或2025全年度经审计的财务会计报告或其提交响应文件截止时间前3个月内银行出具的资信证明。（以上形式的资料提供任何一种即可） 要求：（1）供应商是企业法人的，应提供2024或2025全年度经审计的财务报告，包括 “四表一注”即《资产负债表》《利润表》《现金流量表》《所有者权益变动表》及其附注，或者提交响应文件截止时间前3个月内其基本账户开户银行出具的资信证明（附基本存款账户信息）；供应商是执行《小企业会计准则》的小微企业的，应提供2024或2025全年度经审计的财务报告，至少包括 《资产负债表》《利润表》《现金流量表》及其附注，或者提交响应文件截止时间前3个月内其基本账户开户银行出具的资信证明（附基本存款账户信息）； （2）供应商是事业单位法人的，应提供2024或2025全年度经审计的财务报告，至少包括《资产负债表》《收入支出表或者收入费用表》《财政补助收入支出表》及其附注，或者提交响应文件截止时间前3个月内其基本账户开户银行出具的资信证明（附基本存款账户信息）；（3）其他组织和自然人，提供提交响应文件截止时间前3个月内银行出具的资信证明（附账户信息）； （4）供应商成立不到1年（至提交响应文件截止时间）的，提供成立后任意时段的资产负债表，或提交响应文件截止时间前3个月内其基本账户开户银行出具的资信证明（附基本存款账户信息）。</w:t>
            </w:r>
          </w:p>
        </w:tc>
        <w:tc>
          <w:tcPr>
            <w:tcW w:type="dxa" w:w="1661"/>
          </w:tcPr>
          <w:p>
            <w:pPr>
              <w:pStyle w:val="null3"/>
            </w:pPr>
            <w:r>
              <w:rPr>
                <w:rFonts w:ascii="仿宋_GB2312" w:hAnsi="仿宋_GB2312" w:cs="仿宋_GB2312" w:eastAsia="仿宋_GB2312"/>
              </w:rPr>
              <w:t>资格证明部分.docx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资格证明部分.docx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供应商应具备《中华人民共和国政府采购法》第二十二条规定的条件： （1）供应商的营业执照等证明文件，自然人的身份证明；（2）法定代表人（单位负责人）参加磋商的，提供本人身份证复印件；法定代表人（单位负责人）授权他人参加磋商的，提供法定代表人（单位负责人）委托授权书及被授权代表的身份证复印件。（3）供应商提供的投标（响应）函；（4）供应商不得被列入“信用中国”网站（https://www.creditchina.gov.cn/ ）“失信被执行人”（页面跳转至“中国执行信息公开网”http://zxgk.court.gov.cn/shixin/）、“重大税收违法失信主体”；不得处于中国政府采购网（http://www.ccgp.gov.cn/)“政府采购严重违法失信行为记录名单”中的禁止参加政府采购活动期间。</w:t>
            </w:r>
          </w:p>
        </w:tc>
        <w:tc>
          <w:tcPr>
            <w:tcW w:type="dxa" w:w="1661"/>
          </w:tcPr>
          <w:p>
            <w:pPr>
              <w:pStyle w:val="null3"/>
            </w:pPr>
            <w:r>
              <w:rPr>
                <w:rFonts w:ascii="仿宋_GB2312" w:hAnsi="仿宋_GB2312" w:cs="仿宋_GB2312" w:eastAsia="仿宋_GB2312"/>
              </w:rPr>
              <w:t>资格证明部分.docx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提供2024或2025全年度经审计的财务会计报告或其提交响应文件截止时间前3个月内银行出具的资信证明。（以上形式的资料提供任何一种即可） 要求：（1）供应商是企业法人的，应提供2024或2025全年度经审计的财务报告，包括 “四表一注”即《资产负债表》《利润表》《现金流量表》《所有者权益变动表》及其附注，或者提交响应文件截止时间前3个月内其基本账户开户银行出具的资信证明（附基本存款账户信息）；供应商是执行《小企业会计准则》的小微企业的，应提供2024或2025全年度经审计的财务报告，至少包括 《资产负债表》《利润表》《现金流量表》及其附注，或者提交响应文件截止时间前3个月内其基本账户开户银行出具的资信证明（附基本存款账户信息）； （2）供应商是事业单位法人的，应提供2024或2025全年度经审计的财务报告，至少包括《资产负债表》《收入支出表或者收入费用表》《财政补助收入支出表》及其附注，或者提交响应文件截止时间前3个月内其基本账户开户银行出具的资信证明（附基本存款账户信息）；（3）其他组织和自然人，提供提交响应文件截止时间前3个月内银行出具的资信证明（附账户信息）； （4）供应商成立不到1年（至提交响应文件截止时间）的，提供成立后任意时段的资产负债表，或提交响应文件截止时间前3个月内其基本账户开户银行出具的资信证明（附基本存款账户信息）。</w:t>
            </w:r>
          </w:p>
        </w:tc>
        <w:tc>
          <w:tcPr>
            <w:tcW w:type="dxa" w:w="1661"/>
          </w:tcPr>
          <w:p>
            <w:pPr>
              <w:pStyle w:val="null3"/>
            </w:pPr>
            <w:r>
              <w:rPr>
                <w:rFonts w:ascii="仿宋_GB2312" w:hAnsi="仿宋_GB2312" w:cs="仿宋_GB2312" w:eastAsia="仿宋_GB2312"/>
              </w:rPr>
              <w:t>资格证明部分.docx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资格证明部分.docx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供应商资格要求</w:t>
            </w:r>
          </w:p>
        </w:tc>
        <w:tc>
          <w:tcPr>
            <w:tcW w:type="dxa" w:w="3322"/>
          </w:tcPr>
          <w:p>
            <w:pPr>
              <w:pStyle w:val="null3"/>
            </w:pPr>
            <w:r>
              <w:rPr>
                <w:rFonts w:ascii="仿宋_GB2312" w:hAnsi="仿宋_GB2312" w:cs="仿宋_GB2312" w:eastAsia="仿宋_GB2312"/>
              </w:rPr>
              <w:t>（1）供应商的营业执照等证明文件，自然人的身份证明；（2）法定代表人参加磋商的，提供本人身份证复印件；法定代表人授权他人参加磋商的，提供法定代表人委托授权书并出示被授权代表的身份证复印件；（3）提供2024或2025全年度经审计的财务会计报告或其提交响应文件截止时间前3个月内银行出具的资信证明。（4）税收缴纳证明：提供磋商截止时间前半年内任意一个月的纳税证明或完税证明，依法免税的单位应提供相关证明材料；（5）社会保障资金缴纳证明：提供磋商截止时间前半年内任意一个月的社会保障资金缴存单据或社保机构开具的社会保险参保缴费情况证明，依法不需要缴纳社会保障资金的单位应提供相关证明材料；（6）具备履行合同所必需的设备和专业技术能力的证明；（7）参加本次招标前3年内，在经营活动中没有重大违法记录的书面声明；（8）供应商未被“信用中国”网站列入失信被执行人、重大税收违法失信主体名单，未被“中国政府采购网”网站列入政府采购严重违法失信行为记录名单；（9）单位负责人为同一人或者存在直接控股、管理关系的不同供应商，不得参加同一合同项下的采购活动；（10）本项目不接受联合体磋商。</w:t>
            </w:r>
          </w:p>
        </w:tc>
        <w:tc>
          <w:tcPr>
            <w:tcW w:type="dxa" w:w="1661"/>
          </w:tcPr>
          <w:p>
            <w:pPr>
              <w:pStyle w:val="null3"/>
            </w:pPr>
            <w:r>
              <w:rPr>
                <w:rFonts w:ascii="仿宋_GB2312" w:hAnsi="仿宋_GB2312" w:cs="仿宋_GB2312" w:eastAsia="仿宋_GB2312"/>
              </w:rPr>
              <w:t>资格证明部分.docx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供应商资格要求</w:t>
            </w:r>
          </w:p>
        </w:tc>
        <w:tc>
          <w:tcPr>
            <w:tcW w:type="dxa" w:w="3322"/>
          </w:tcPr>
          <w:p>
            <w:pPr>
              <w:pStyle w:val="null3"/>
            </w:pPr>
            <w:r>
              <w:rPr>
                <w:rFonts w:ascii="仿宋_GB2312" w:hAnsi="仿宋_GB2312" w:cs="仿宋_GB2312" w:eastAsia="仿宋_GB2312"/>
              </w:rPr>
              <w:t>（1）供应商的营业执照等证明文件，自然人的身份证明；（2）法定代表人参加磋商的，提供本人身份证复印件；法定代表人授权他人参加磋商的，提供法定代表人委托授权书并出示被授权代表的身份证复印件；（3）提供2024或2025全年度经审计的财务会计报告或其提交响应文件截止时间前3个月内银行出具的资信证明。（4）税收缴纳证明：提供磋商截止时间前半年内任意一个月的纳税证明或完税证明，依法免税的单位应提供相关证明材料；（5）社会保障资金缴纳证明：提供磋商截止时间前半年内任意一个月的社会保障资金缴存单据或社保机构开具的社会保险参保缴费情况证明，依法不需要缴纳社会保障资金的单位应提供相关证明材料；（6）具备履行合同所必需的设备和专业技术能力的证明；（7）参加本次招标前3年内，在经营活动中没有重大违法记录的书面声明；（8）供应商未被“信用中国”网站列入失信被执行人、重大税收违法失信主体名单，未被“中国政府采购网”网站列入政府采购严重违法失信行为记录名单；（9）单位负责人为同一人或者存在直接控股、管理关系的不同供应商，不得参加同一合同项下的采购活动；（10）本项目不接受联合体磋商。</w:t>
            </w:r>
          </w:p>
        </w:tc>
        <w:tc>
          <w:tcPr>
            <w:tcW w:type="dxa" w:w="1661"/>
          </w:tcPr>
          <w:p>
            <w:pPr>
              <w:pStyle w:val="null3"/>
            </w:pPr>
            <w:r>
              <w:rPr>
                <w:rFonts w:ascii="仿宋_GB2312" w:hAnsi="仿宋_GB2312" w:cs="仿宋_GB2312" w:eastAsia="仿宋_GB2312"/>
              </w:rPr>
              <w:t>资格证明部分.docx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响应文件上法定代表人（单位负责人）或其委托代理人的签名齐全并加盖单位章。</w:t>
            </w:r>
          </w:p>
        </w:tc>
        <w:tc>
          <w:tcPr>
            <w:tcW w:type="dxa" w:w="1661"/>
          </w:tcPr>
          <w:p>
            <w:pPr>
              <w:pStyle w:val="null3"/>
            </w:pPr>
            <w:r>
              <w:rPr>
                <w:rFonts w:ascii="仿宋_GB2312" w:hAnsi="仿宋_GB2312" w:cs="仿宋_GB2312" w:eastAsia="仿宋_GB2312"/>
              </w:rPr>
              <w:t>响应文件封面 资格证明部分.docx 中小企业声明函 残疾人福利性单位声明函 标的清单 响应函 商务技术部分.docx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应符合“响应文件格式”要求（不得因文件排序等非实质性的格式、形式问题限制和影响供应商响应)。</w:t>
            </w:r>
          </w:p>
        </w:tc>
        <w:tc>
          <w:tcPr>
            <w:tcW w:type="dxa" w:w="1661"/>
          </w:tcPr>
          <w:p>
            <w:pPr>
              <w:pStyle w:val="null3"/>
            </w:pPr>
            <w:r>
              <w:rPr>
                <w:rFonts w:ascii="仿宋_GB2312" w:hAnsi="仿宋_GB2312" w:cs="仿宋_GB2312" w:eastAsia="仿宋_GB2312"/>
              </w:rPr>
              <w:t>资格证明部分.docx 商务技术部分.docx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只能有一个有效报价，不得提交选择性报价，且报价不超过第二章“供应商须知”前附表规定的采购预算金额或最高限价。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不存在恶意串通的情形</w:t>
            </w:r>
          </w:p>
        </w:tc>
        <w:tc>
          <w:tcPr>
            <w:tcW w:type="dxa" w:w="3322"/>
          </w:tcPr>
          <w:p>
            <w:pPr>
              <w:pStyle w:val="null3"/>
            </w:pPr>
            <w:r>
              <w:rPr>
                <w:rFonts w:ascii="仿宋_GB2312" w:hAnsi="仿宋_GB2312" w:cs="仿宋_GB2312" w:eastAsia="仿宋_GB2312"/>
              </w:rPr>
              <w:t>不存在以下情形： （1）不同供应商的响应文件由同一单位或者个人编制； （2）不同供应商委托同一单位或者个人办理磋商事宜； （3）不同供应商的响应文件载明的项目管理成员或者联系人员为同一人； （4）不同供应商的响应文件异常一致或者响应报价呈规律性差异； （5）不同供应商的响应文件相互混装。</w:t>
            </w:r>
          </w:p>
        </w:tc>
        <w:tc>
          <w:tcPr>
            <w:tcW w:type="dxa" w:w="1661"/>
          </w:tcPr>
          <w:p>
            <w:pPr>
              <w:pStyle w:val="null3"/>
            </w:pPr>
            <w:r>
              <w:rPr>
                <w:rFonts w:ascii="仿宋_GB2312" w:hAnsi="仿宋_GB2312" w:cs="仿宋_GB2312" w:eastAsia="仿宋_GB2312"/>
              </w:rPr>
              <w:t>商务技术部分.docx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应符合磋商文件中的规定</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应符合磋商文件中的规定</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响应文件上法定代表人（单位负责人）或其委托代理人的签名齐全并加盖单位章。</w:t>
            </w:r>
          </w:p>
        </w:tc>
        <w:tc>
          <w:tcPr>
            <w:tcW w:type="dxa" w:w="1661"/>
          </w:tcPr>
          <w:p>
            <w:pPr>
              <w:pStyle w:val="null3"/>
            </w:pPr>
            <w:r>
              <w:rPr>
                <w:rFonts w:ascii="仿宋_GB2312" w:hAnsi="仿宋_GB2312" w:cs="仿宋_GB2312" w:eastAsia="仿宋_GB2312"/>
              </w:rPr>
              <w:t>响应文件封面 资格证明部分.docx 中小企业声明函 残疾人福利性单位声明函 标的清单 响应函 商务技术部分.docx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应符合“响应文件格式”要求（不得因文件排序等非实质性的格式、形式问题限制和影响供应商响应)。</w:t>
            </w:r>
          </w:p>
        </w:tc>
        <w:tc>
          <w:tcPr>
            <w:tcW w:type="dxa" w:w="1661"/>
          </w:tcPr>
          <w:p>
            <w:pPr>
              <w:pStyle w:val="null3"/>
            </w:pPr>
            <w:r>
              <w:rPr>
                <w:rFonts w:ascii="仿宋_GB2312" w:hAnsi="仿宋_GB2312" w:cs="仿宋_GB2312" w:eastAsia="仿宋_GB2312"/>
              </w:rPr>
              <w:t>资格证明部分.docx 商务技术部分.docx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只能有一个有效报价，不得提交选择性报价，且报价不超过第二章“供应商须知”前附表规定的采购预算金额或最高限价。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不存在恶意串通的情形</w:t>
            </w:r>
          </w:p>
        </w:tc>
        <w:tc>
          <w:tcPr>
            <w:tcW w:type="dxa" w:w="3322"/>
          </w:tcPr>
          <w:p>
            <w:pPr>
              <w:pStyle w:val="null3"/>
            </w:pPr>
            <w:r>
              <w:rPr>
                <w:rFonts w:ascii="仿宋_GB2312" w:hAnsi="仿宋_GB2312" w:cs="仿宋_GB2312" w:eastAsia="仿宋_GB2312"/>
              </w:rPr>
              <w:t>不存在以下情形： （1）不同供应商的响应文件由同一单位或者个人编制； （2）不同供应商委托同一单位或者个人办理磋商事宜； （3）不同供应商的响应文件载明的项目管理成员或者联系人员为同一人； （4）不同供应商的响应文件异常一致或者响应报价呈规律性差异； （5）不同供应商的响应文件相互混装。</w:t>
            </w:r>
          </w:p>
        </w:tc>
        <w:tc>
          <w:tcPr>
            <w:tcW w:type="dxa" w:w="1661"/>
          </w:tcPr>
          <w:p>
            <w:pPr>
              <w:pStyle w:val="null3"/>
            </w:pPr>
            <w:r>
              <w:rPr>
                <w:rFonts w:ascii="仿宋_GB2312" w:hAnsi="仿宋_GB2312" w:cs="仿宋_GB2312" w:eastAsia="仿宋_GB2312"/>
              </w:rPr>
              <w:t>商务技术部分.docx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应符合磋商文件中的规定</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策划方案</w:t>
            </w:r>
          </w:p>
        </w:tc>
        <w:tc>
          <w:tcPr>
            <w:tcW w:type="dxa" w:w="2492"/>
          </w:tcPr>
          <w:p>
            <w:pPr>
              <w:pStyle w:val="null3"/>
            </w:pPr>
            <w:r>
              <w:rPr>
                <w:rFonts w:ascii="仿宋_GB2312" w:hAnsi="仿宋_GB2312" w:cs="仿宋_GB2312" w:eastAsia="仿宋_GB2312"/>
              </w:rPr>
              <w:t>一、评审内容：根据供应商提供的策划方案（包括但不限于：①对本项目的策划基本思路；②工作计划赛事备案；③场地搭建布置；④赛事策划；⑤参赛邀请；⑥志愿者招募；⑦人员培训）进行综合赋分。 二、评审标准：1、完整性：方案（内容）非常全面，对评审内容中的各项要求有详细描述；2、可实施性：切合本项目实际情况，提出步骤清晰、合理的方案（内容）；3、针对性：方案（内容）能够紧扣项目实际情况，内容科学合理。 三、赋分标准（满分21分）：每个评审项满分3分，每完全满足一个评审标准，得1分，针对每条评审标准，如内容不完整或不符合实际要求或不满足实施要求或不完全满足评审标准或套用其他项目内容，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开闭幕式方案</w:t>
            </w:r>
          </w:p>
        </w:tc>
        <w:tc>
          <w:tcPr>
            <w:tcW w:type="dxa" w:w="2492"/>
          </w:tcPr>
          <w:p>
            <w:pPr>
              <w:pStyle w:val="null3"/>
            </w:pPr>
            <w:r>
              <w:rPr>
                <w:rFonts w:ascii="仿宋_GB2312" w:hAnsi="仿宋_GB2312" w:cs="仿宋_GB2312" w:eastAsia="仿宋_GB2312"/>
              </w:rPr>
              <w:t>一、评审内容：根据供应商提供的开闭幕式方案进行综合赋分。 二、评审标准：1、完整性：方案（内容）非常全面，对评审内容中的各项要求有详细描述；2、可实施性：切合本项目实际情况，提出步骤清晰、合理的方案（内容）；3、针对性：方案（内容）能够紧扣项目实际情况，内容科学合理。 三、赋分标准（满分6分）：每完全满足一个评审标准，得2分，针对每条评审标准，如内容不完整或不符合实际要求或不满足实施要求或不完全满足评审标准或套用其他项目内容，得1分；针对每条评审标准，方案（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拟派项目团队</w:t>
            </w:r>
          </w:p>
        </w:tc>
        <w:tc>
          <w:tcPr>
            <w:tcW w:type="dxa" w:w="2492"/>
          </w:tcPr>
          <w:p>
            <w:pPr>
              <w:pStyle w:val="null3"/>
            </w:pPr>
            <w:r>
              <w:rPr>
                <w:rFonts w:ascii="仿宋_GB2312" w:hAnsi="仿宋_GB2312" w:cs="仿宋_GB2312" w:eastAsia="仿宋_GB2312"/>
              </w:rPr>
              <w:t>根据供应商提供的拟派项目团队情况进行综合赋分： （1）拟派项目团队包含3人及以上具备同类赛事活动经验的专业人员，得5分；团队包含 2人具备同类赛事活动经验的专业人员，得3分；团队包含 1人具备同类赛事活动经验的专业人员，得1分；团队无同类赛事活动经验的专业人员，得0分； （2）拟派团队人员组成合理，人员充足，分工详细，得5分；拟派团队人员组成合理，基本能够满足赛事需要，分工明确，得3分；拟派团队人员组成不合理，人员分工混乱，得1分；无法满足赛事需要或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赛事服务、后勤保障方案</w:t>
            </w:r>
          </w:p>
        </w:tc>
        <w:tc>
          <w:tcPr>
            <w:tcW w:type="dxa" w:w="2492"/>
          </w:tcPr>
          <w:p>
            <w:pPr>
              <w:pStyle w:val="null3"/>
            </w:pPr>
            <w:r>
              <w:rPr>
                <w:rFonts w:ascii="仿宋_GB2312" w:hAnsi="仿宋_GB2312" w:cs="仿宋_GB2312" w:eastAsia="仿宋_GB2312"/>
              </w:rPr>
              <w:t>一、评审内容：根据供应商提供的赛事服务、后勤保障方案（包括但不限于：①现场及后勤人员安排；②物资准备；③场地养护；④现场秩序维护；⑤交通指引；⑥住宿服务）进行综合赋分： 二、评审标准：1、完整性：方案（内容）非常全面，对评审内容中的各项要求有详细描述；2、可实施性：切合本项目实际情况，提出步骤清晰、合理的方案（内容）；3、针对性：方案（内容）能够紧扣项目实际情况，内容科学合理。 三、赋分标准（满分18分）：每个评审项满分3分，每完全满足一个评审标准，得1分，针对每条评审标准，如内容不完整或不符合实际要求或不满足实施要求或不完全满足评审标准或套用其他项目内容，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竞赛工作组织方案</w:t>
            </w:r>
          </w:p>
        </w:tc>
        <w:tc>
          <w:tcPr>
            <w:tcW w:type="dxa" w:w="2492"/>
          </w:tcPr>
          <w:p>
            <w:pPr>
              <w:pStyle w:val="null3"/>
            </w:pPr>
            <w:r>
              <w:rPr>
                <w:rFonts w:ascii="仿宋_GB2312" w:hAnsi="仿宋_GB2312" w:cs="仿宋_GB2312" w:eastAsia="仿宋_GB2312"/>
              </w:rPr>
              <w:t>一、评审内容：根据供应商提供的竞赛组织方案（包括但不限于：①竞赛日程安排；②裁判员安排；③竞赛所需器材准备；④赛事秩序册设计制作及奖品颁发方案）进行综合赋分； 二、评审标准：1、完整性：方案（内容）非常全面，对评审内容中的各项要求有详细描述；2、可实施性：切合本项目实际情况，提出步骤清晰、合理的方案（内容）；3、针对性：方案（内容）能够紧扣项目实际情况，内容科学合理。 三、赋分标准（满分12分）：每个评审项满分3分，每完全满足一个评审标准，得1分，针对每条评审标准，如内容不完整或不符合实际要求或不满足实施要求或不完全满足评审标准或套用其他项目内容，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一、评审内容：根据供应商提供的应急处置预案（包括但不限于：①赛事过程中可能遇到的突发事件及分析；②针对突发事件的响应时间、对策）进行综合赋分： 二、评审标准：1、完整性：方案（内容）非常全面，对评审内容中的各项要求有详细描述；2、可实施性：切合本项目实际情况，提出步骤清晰、合理的方案（内容）；3、针对性：方案（内容）能够紧扣项目实际情况，内容科学合理。 三、赋分标准（满分6分）：每个评审项满分3分，每完全满足一个评审标准，得1分，针对每条评审标准，如内容不完整或不符合实际要求或不满足实施要求或不完全满足评审标准或套用其他项目内容，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安全保障方案</w:t>
            </w:r>
          </w:p>
        </w:tc>
        <w:tc>
          <w:tcPr>
            <w:tcW w:type="dxa" w:w="2492"/>
          </w:tcPr>
          <w:p>
            <w:pPr>
              <w:pStyle w:val="null3"/>
            </w:pPr>
            <w:r>
              <w:rPr>
                <w:rFonts w:ascii="仿宋_GB2312" w:hAnsi="仿宋_GB2312" w:cs="仿宋_GB2312" w:eastAsia="仿宋_GB2312"/>
              </w:rPr>
              <w:t>一、评审内容：根据供应商提供的安全保障方案（包括观众区域确定，围场区域的安排，现场秩序维护等）进行综合赋分： 二、赋分标准：（1）方案根据项目特点具有针对性且能切合本项目实际，方案清晰全面，得5分；（2）方案合理，能够起到安全保障方案，内容完整，得3分；（3）方案可实施性不强，无法完全起到安全保障效果，内容片面，得1分；（4）方案不合理或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供应商针对本项目对服务质量提供切实可行的服务承诺； （1）针对本项目的服务内容有详细完整的服务承诺，得2分； （2）服务承诺粗略不全，得1分； （3）对服务质量无承诺或未提供，得0分。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 2022年1月1日至今完成过类似项目的业绩。每提供一份得2分，最多得10分。业绩证明以加盖单位公章的合同复印件为准，日期以合同签订日期为准。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供应商的价格分，按照财政部财库〔2014〕214号文件第二十四条和 财库〔2020〕46号文件的规定，采用低价优先法计算，以本次满足磋商文件要求的最低最后磋商报价为磋商基准价，其磋商报价为满分。供应商的磋商报价得分，统一按照下列公式计算：磋商报价得分=(磋商基准价／最后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策划方案</w:t>
            </w:r>
          </w:p>
        </w:tc>
        <w:tc>
          <w:tcPr>
            <w:tcW w:type="dxa" w:w="2492"/>
          </w:tcPr>
          <w:p>
            <w:pPr>
              <w:pStyle w:val="null3"/>
            </w:pPr>
            <w:r>
              <w:rPr>
                <w:rFonts w:ascii="仿宋_GB2312" w:hAnsi="仿宋_GB2312" w:cs="仿宋_GB2312" w:eastAsia="仿宋_GB2312"/>
              </w:rPr>
              <w:t>一、评审内容：根据供应商提供的策划方案（包括但不限于：①对本项目策划的基本思路；②工作计划赛事备案；③赛事策划；④参赛邀请）进行综合赋分。 二、评审标准：1、完整性：方案（内容）非常全面，对评审内容中的各项要求有详细描述；2、可实施性：切合本项目实际情况，提出步骤清晰、合理的方案（内容）；3、针对性：方案（内容）能够紧扣项目实际情况，内容科学合理。 三、赋分标准（满分12分）：每个评审项满分3分，每完全满足一个评审标准，得1分，针对每条评审标准，如内容不完整或不符合实际要求或不满足实施要求或不完全满足评审标准或套用其他项目内容，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赛事总体执行方案</w:t>
            </w:r>
          </w:p>
        </w:tc>
        <w:tc>
          <w:tcPr>
            <w:tcW w:type="dxa" w:w="2492"/>
          </w:tcPr>
          <w:p>
            <w:pPr>
              <w:pStyle w:val="null3"/>
            </w:pPr>
            <w:r>
              <w:rPr>
                <w:rFonts w:ascii="仿宋_GB2312" w:hAnsi="仿宋_GB2312" w:cs="仿宋_GB2312" w:eastAsia="仿宋_GB2312"/>
              </w:rPr>
              <w:t>一、评审内容：根据供应商提供的赛事总体执行方案（包括但不限于：①赛事安排方案；②比赛奖励办法及奖项设置；③比赛场地布置方案；④媒体宣传推广方案；⑤志愿者招募管理及培训方案；⑥竞赛和器材保障方案；⑦运动员服务方案；⑧医疗救援工作方案；⑨舆论处理预案；⑩沟通协调工作方案；⑪赛事保险购买方案）进行综合赋分。 二、评审标准：1、完整性：方案（内容）非常全面，对评审内容中的各项要求有详细描述；2、可实施性：切合本项目实际情况，提出步骤清晰、合理的方案（内容）；3、针对性：方案（内容）能够紧扣项目实际情况，内容科学合理。 三、赋分标准（满分33分）：每个评审项满分3分，每完全满足一个评审标准，得1分，针对每条评审标准，如内容不完整或不符合实际要求或不满足实施要求或不完全满足评审标准或套用其他项目内容，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33.0000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赛事服务、后勤保障方案</w:t>
            </w:r>
          </w:p>
        </w:tc>
        <w:tc>
          <w:tcPr>
            <w:tcW w:type="dxa" w:w="2492"/>
          </w:tcPr>
          <w:p>
            <w:pPr>
              <w:pStyle w:val="null3"/>
            </w:pPr>
            <w:r>
              <w:rPr>
                <w:rFonts w:ascii="仿宋_GB2312" w:hAnsi="仿宋_GB2312" w:cs="仿宋_GB2312" w:eastAsia="仿宋_GB2312"/>
              </w:rPr>
              <w:t>一、评审内容：根据供应商提供的赛事服务、后勤保障方案（包括但不限于：①现场及后勤人员安排；②物资准备；③现场秩序维护；④交通指引；⑤住宿服务）进行综合赋分： 二、评审标准：1、完整性：方案（内容）非常全面，对评审内容中的各项要求有详细描述；2、可实施性：切合本项目实际情况，提出步骤清晰、合理的方案（内容）；3、针对性：方案（内容）能够紧扣项目实际情况，内容科学合理。 三、赋分标准（满分15分）：每个评审项满分3分，每完全满足一个评审标准，得1分，针对每条评审标准，如内容不完整或不符合实际要求或不满足实施要求或不完全满足评审标准或套用其他项目内容，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供应商有完善的管理体系，针对本项目的服务团队安排有具体方案(提供人员岗位职责表及到岗时间表)，分工合理、责任明确，能确保本次赛事顺利执行； （1）拟派团队人员组成合理，人员充足，分工详细，责任明确，得6分； （2）拟派团队人员组成合理，基本能够满足赛事需要，分工明确，得3分；（3）拟派团队人员组成不合理，人员分工混乱，得1分； （4）无法满足赛事需要或未提供得0分。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一、评审内容：根据供应商提供的应急处置预案（包括但不限于：①赛事过程中可能遇到的突发事件及分析；②针对突发事件的响应时间、对策）进行综合赋分： 二、评审标准：1、完整性：方案（内容）非常全面，对评审内容中的各项要求有详细描述；2、可实施性：切合本项目实际情况，提出步骤清晰、合理的方案（内容）；3、针对性：方案（内容）能够紧扣项目实际情况，内容科学合理。 三、赋分标准（满分6分）：每个评审项满分3分，每完全满足一个评审标准，得1分，针对每条评审标准，如内容不完整或不符合实际要求或不满足实施要求或不完全满足评审标准或套用其他项目内容，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安全管理制度</w:t>
            </w:r>
          </w:p>
        </w:tc>
        <w:tc>
          <w:tcPr>
            <w:tcW w:type="dxa" w:w="2492"/>
          </w:tcPr>
          <w:p>
            <w:pPr>
              <w:pStyle w:val="null3"/>
            </w:pPr>
            <w:r>
              <w:rPr>
                <w:rFonts w:ascii="仿宋_GB2312" w:hAnsi="仿宋_GB2312" w:cs="仿宋_GB2312" w:eastAsia="仿宋_GB2312"/>
              </w:rPr>
              <w:t>一、评审内容：根据供应商提供的安全管理制度(包括但不限于：①具有健全的赛事安全管理制度；②针对本项目的安全管理方法)进行综合赋分： 二、评审标准：1、完整性：方案（内容）非常全面，对评审内容中的各项要求有详细描述；2、可实施性：切合本项目实际情况，提出步骤清晰、合理的方案（内容）；3、针对性：方案（内容）能够紧扣项目实际情况，内容科学合理。 三、赋分标准（满分6分）：每个评审项满分3分，每完全满足一个评审标准，得1分，针对每条评审标准，如内容不完整或不符合实际要求或不满足实施要求或不完全满足评审标准或套用其他项目内容，得0.5分；针对每条评审标准，方案（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供应商针对本项目对服务质量提供切实可行的服务承诺； （1）针对本项目的服务内容有详细完整的服务承诺，得2分； （2）服务承诺粗略不全，得1分； （3）对服务质量无承诺或未提供，得0分。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 2022年1月1日至今完成过类似项目的业绩。每提供一份得2分，最多得10分。业绩证明以加盖单位公章的合同复印件为准，日期以合同签订日期为准。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商务技术部分.docx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供应商的价格分，按照财政部财库〔2014〕214号文件第二十四条和 财库〔2020〕46号文件的规定，采用低价优先法计算，以本次满足磋商文件要求的最低最后磋商报价为磋商基准价，其磋商报价为满分。供应商的磋商报价得分，统一按照下列公式计算：磋商报价得分=(磋商基准价／最后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详见附件：资格证明部分.docx</w:t>
      </w:r>
    </w:p>
    <w:p>
      <w:pPr>
        <w:pStyle w:val="null3"/>
        <w:ind w:firstLine="960"/>
      </w:pPr>
      <w:r>
        <w:rPr>
          <w:rFonts w:ascii="仿宋_GB2312" w:hAnsi="仿宋_GB2312" w:cs="仿宋_GB2312" w:eastAsia="仿宋_GB2312"/>
        </w:rPr>
        <w:t>详见附件：商务技术部分.docx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详见附件：资格证明部分.docx</w:t>
      </w:r>
    </w:p>
    <w:p>
      <w:pPr>
        <w:pStyle w:val="null3"/>
        <w:ind w:firstLine="960"/>
      </w:pPr>
      <w:r>
        <w:rPr>
          <w:rFonts w:ascii="仿宋_GB2312" w:hAnsi="仿宋_GB2312" w:cs="仿宋_GB2312" w:eastAsia="仿宋_GB2312"/>
        </w:rPr>
        <w:t>详见附件：商务技术部分.docx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