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55429">
      <w:pPr>
        <w:pStyle w:val="9"/>
        <w:jc w:val="center"/>
        <w:outlineLvl w:val="1"/>
        <w:rPr>
          <w:rFonts w:hint="eastAsia" w:eastAsia="仿宋_GB2312"/>
          <w:color w:val="000000"/>
          <w:highlight w:val="none"/>
          <w:lang w:eastAsia="zh-CN"/>
        </w:rPr>
      </w:pPr>
      <w:r>
        <w:rPr>
          <w:rFonts w:ascii="仿宋_GB2312" w:hAnsi="仿宋_GB2312" w:eastAsia="仿宋_GB2312" w:cs="仿宋_GB2312"/>
          <w:b/>
          <w:color w:val="000000"/>
          <w:sz w:val="36"/>
          <w:highlight w:val="none"/>
        </w:rPr>
        <w:t>拟签订采购合同文本</w:t>
      </w:r>
      <w:r>
        <w:rPr>
          <w:rFonts w:hint="eastAsia" w:ascii="仿宋_GB2312" w:hAnsi="仿宋_GB2312" w:eastAsia="仿宋_GB2312" w:cs="仿宋_GB2312"/>
          <w:b/>
          <w:color w:val="000000"/>
          <w:sz w:val="36"/>
          <w:highlight w:val="none"/>
          <w:lang w:eastAsia="zh-CN"/>
        </w:rPr>
        <w:t>（仅供参考）</w:t>
      </w:r>
      <w:bookmarkStart w:id="1" w:name="_GoBack"/>
      <w:bookmarkEnd w:id="1"/>
    </w:p>
    <w:p w14:paraId="6F461FE5">
      <w:pPr>
        <w:pStyle w:val="6"/>
        <w:keepNext w:val="0"/>
        <w:keepLines w:val="0"/>
        <w:pageBreakBefore w:val="0"/>
        <w:wordWrap/>
        <w:overflowPunct/>
        <w:topLinePunct w:val="0"/>
        <w:bidi w:val="0"/>
        <w:spacing w:before="0" w:beforeAutospacing="0" w:after="0" w:afterAutospacing="0"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合同编号： </w:t>
      </w:r>
    </w:p>
    <w:p w14:paraId="3C3AF93F">
      <w:pPr>
        <w:pStyle w:val="6"/>
        <w:keepNext w:val="0"/>
        <w:keepLines w:val="0"/>
        <w:pageBreakBefore w:val="0"/>
        <w:wordWrap/>
        <w:overflowPunct/>
        <w:topLinePunct w:val="0"/>
        <w:bidi w:val="0"/>
        <w:spacing w:before="0" w:beforeAutospacing="0" w:after="0" w:afterAutospacing="0"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签订地点： </w:t>
      </w:r>
    </w:p>
    <w:p w14:paraId="15D4E662">
      <w:pPr>
        <w:pStyle w:val="6"/>
        <w:keepNext w:val="0"/>
        <w:keepLines w:val="0"/>
        <w:pageBreakBefore w:val="0"/>
        <w:wordWrap/>
        <w:overflowPunct/>
        <w:topLinePunct w:val="0"/>
        <w:bidi w:val="0"/>
        <w:spacing w:before="0" w:beforeAutospacing="0" w:after="0" w:afterAutospacing="0"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签订时间：</w:t>
      </w:r>
    </w:p>
    <w:p w14:paraId="6D96A3CE">
      <w:pPr>
        <w:pStyle w:val="6"/>
        <w:keepNext w:val="0"/>
        <w:keepLines w:val="0"/>
        <w:pageBreakBefore w:val="0"/>
        <w:wordWrap/>
        <w:overflowPunct/>
        <w:topLinePunct w:val="0"/>
        <w:bidi w:val="0"/>
        <w:spacing w:before="0" w:beforeAutospacing="0" w:after="0" w:afterAutospacing="0"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甲方（</w:t>
      </w:r>
      <w:r>
        <w:rPr>
          <w:rFonts w:hint="eastAsia" w:ascii="仿宋" w:hAnsi="仿宋" w:eastAsia="仿宋" w:cs="仿宋"/>
          <w:color w:val="000000"/>
          <w:sz w:val="28"/>
          <w:szCs w:val="28"/>
          <w:highlight w:val="none"/>
          <w:lang w:val="en-US" w:eastAsia="zh-CN"/>
        </w:rPr>
        <w:t>采购人</w:t>
      </w:r>
      <w:r>
        <w:rPr>
          <w:rFonts w:hint="eastAsia" w:ascii="仿宋" w:hAnsi="仿宋" w:eastAsia="仿宋" w:cs="仿宋"/>
          <w:color w:val="000000"/>
          <w:sz w:val="28"/>
          <w:szCs w:val="28"/>
          <w:highlight w:val="none"/>
        </w:rPr>
        <w:t>）：</w:t>
      </w:r>
    </w:p>
    <w:p w14:paraId="1181A80D">
      <w:pPr>
        <w:pStyle w:val="6"/>
        <w:keepNext w:val="0"/>
        <w:keepLines w:val="0"/>
        <w:pageBreakBefore w:val="0"/>
        <w:wordWrap/>
        <w:overflowPunct/>
        <w:topLinePunct w:val="0"/>
        <w:bidi w:val="0"/>
        <w:spacing w:before="0" w:beforeAutospacing="0" w:after="0" w:afterAutospacing="0"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乙方（供应商）：</w:t>
      </w:r>
    </w:p>
    <w:p w14:paraId="3D88DECB">
      <w:pPr>
        <w:pStyle w:val="3"/>
        <w:keepNext w:val="0"/>
        <w:keepLines w:val="0"/>
        <w:pageBreakBefore w:val="0"/>
        <w:wordWrap/>
        <w:overflowPunct/>
        <w:topLinePunct w:val="0"/>
        <w:bidi w:val="0"/>
        <w:spacing w:before="0" w:beforeLines="0" w:beforeAutospacing="0" w:afterAutospacing="0" w:line="360" w:lineRule="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根据《中华人民共和国政府采购法》及实施条例、《中华人民共和国民法典》和甲方</w:t>
      </w:r>
      <w:r>
        <w:rPr>
          <w:rFonts w:hint="eastAsia" w:ascii="仿宋" w:hAnsi="仿宋" w:eastAsia="仿宋" w:cs="仿宋"/>
          <w:color w:val="000000"/>
          <w:sz w:val="28"/>
          <w:szCs w:val="28"/>
          <w:highlight w:val="none"/>
          <w:u w:val="single"/>
        </w:rPr>
        <w:t xml:space="preserve"> （项目名称）（项目编号）</w:t>
      </w:r>
      <w:r>
        <w:rPr>
          <w:rFonts w:hint="eastAsia" w:ascii="仿宋" w:hAnsi="仿宋" w:eastAsia="仿宋" w:cs="仿宋"/>
          <w:color w:val="000000"/>
          <w:sz w:val="28"/>
          <w:szCs w:val="28"/>
          <w:highlight w:val="none"/>
          <w:u w:val="single"/>
          <w:lang w:eastAsia="zh-CN"/>
        </w:rPr>
        <w:t>（</w:t>
      </w:r>
      <w:r>
        <w:rPr>
          <w:rFonts w:hint="eastAsia" w:ascii="仿宋" w:hAnsi="仿宋" w:eastAsia="仿宋" w:cs="仿宋"/>
          <w:color w:val="000000"/>
          <w:sz w:val="28"/>
          <w:szCs w:val="28"/>
          <w:highlight w:val="none"/>
          <w:u w:val="single"/>
          <w:lang w:val="en-US" w:eastAsia="zh-CN"/>
        </w:rPr>
        <w:t>采购包号</w:t>
      </w:r>
      <w:r>
        <w:rPr>
          <w:rFonts w:hint="eastAsia" w:ascii="仿宋" w:hAnsi="仿宋" w:eastAsia="仿宋" w:cs="仿宋"/>
          <w:color w:val="000000"/>
          <w:sz w:val="28"/>
          <w:szCs w:val="28"/>
          <w:highlight w:val="none"/>
          <w:u w:val="single"/>
          <w:lang w:eastAsia="zh-CN"/>
        </w:rPr>
        <w:t>）</w:t>
      </w:r>
      <w:r>
        <w:rPr>
          <w:rFonts w:hint="eastAsia" w:ascii="仿宋" w:hAnsi="仿宋" w:eastAsia="仿宋" w:cs="仿宋"/>
          <w:color w:val="000000"/>
          <w:sz w:val="28"/>
          <w:szCs w:val="28"/>
          <w:highlight w:val="none"/>
        </w:rPr>
        <w:t>的</w:t>
      </w:r>
      <w:r>
        <w:rPr>
          <w:rFonts w:hint="eastAsia" w:ascii="仿宋" w:hAnsi="仿宋" w:eastAsia="仿宋" w:cs="仿宋"/>
          <w:color w:val="000000"/>
          <w:sz w:val="28"/>
          <w:szCs w:val="28"/>
          <w:highlight w:val="none"/>
          <w:lang w:val="en-US" w:eastAsia="zh-CN"/>
        </w:rPr>
        <w:t>采购</w:t>
      </w:r>
      <w:r>
        <w:rPr>
          <w:rFonts w:hint="eastAsia" w:ascii="仿宋" w:hAnsi="仿宋" w:eastAsia="仿宋" w:cs="仿宋"/>
          <w:color w:val="000000"/>
          <w:sz w:val="28"/>
          <w:szCs w:val="28"/>
          <w:highlight w:val="none"/>
        </w:rPr>
        <w:t>文件、响应文件等有关规定，为确保甲方采购项目的顺利实施，甲、乙双方在平等自愿原则下签订本合同，并共同遵守如下条款：</w:t>
      </w:r>
      <w:bookmarkStart w:id="0" w:name="_Toc14987"/>
    </w:p>
    <w:bookmarkEnd w:id="0"/>
    <w:p w14:paraId="59EF80CC">
      <w:pPr>
        <w:keepNext w:val="0"/>
        <w:keepLines w:val="0"/>
        <w:pageBreakBefore w:val="0"/>
        <w:wordWrap/>
        <w:overflowPunct/>
        <w:topLinePunct w:val="0"/>
        <w:bidi w:val="0"/>
        <w:spacing w:beforeAutospacing="0" w:afterAutospacing="0" w:line="36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第一条 项目概况</w:t>
      </w:r>
    </w:p>
    <w:p w14:paraId="16081743">
      <w:pPr>
        <w:keepNext w:val="0"/>
        <w:keepLines w:val="0"/>
        <w:pageBreakBefore w:val="0"/>
        <w:wordWrap/>
        <w:overflowPunct/>
        <w:topLinePunct w:val="0"/>
        <w:bidi w:val="0"/>
        <w:spacing w:beforeAutospacing="0" w:afterAutospacing="0" w:line="360" w:lineRule="auto"/>
        <w:ind w:right="-199" w:rightChars="-95"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乙</w:t>
      </w:r>
      <w:r>
        <w:rPr>
          <w:rFonts w:hint="eastAsia" w:ascii="仿宋" w:hAnsi="仿宋" w:eastAsia="仿宋" w:cs="仿宋"/>
          <w:color w:val="000000"/>
          <w:sz w:val="28"/>
          <w:szCs w:val="28"/>
          <w:highlight w:val="none"/>
          <w:lang w:val="en-US" w:eastAsia="zh-CN"/>
        </w:rPr>
        <w:t>方按照配送责任范围和要求，负责</w:t>
      </w:r>
      <w:r>
        <w:rPr>
          <w:rFonts w:hint="eastAsia" w:ascii="仿宋" w:hAnsi="仿宋" w:eastAsia="仿宋" w:cs="仿宋"/>
          <w:b w:val="0"/>
          <w:bCs/>
          <w:color w:val="000000"/>
          <w:sz w:val="28"/>
          <w:szCs w:val="28"/>
          <w:highlight w:val="none"/>
          <w:lang w:val="en-US" w:eastAsia="zh-CN"/>
        </w:rPr>
        <w:t>各中队食堂食材供应及配送，</w:t>
      </w:r>
      <w:r>
        <w:rPr>
          <w:rFonts w:hint="eastAsia" w:ascii="仿宋" w:hAnsi="仿宋" w:eastAsia="仿宋" w:cs="仿宋"/>
          <w:color w:val="000000"/>
          <w:sz w:val="28"/>
          <w:szCs w:val="28"/>
          <w:highlight w:val="none"/>
          <w:shd w:val="clear" w:color="auto" w:fill="FFFFFF"/>
        </w:rPr>
        <w:t>食材安全管理以及项目实施过程中必要的协调沟通等</w:t>
      </w:r>
      <w:r>
        <w:rPr>
          <w:rFonts w:hint="eastAsia" w:ascii="仿宋" w:hAnsi="仿宋" w:eastAsia="仿宋" w:cs="仿宋"/>
          <w:color w:val="000000"/>
          <w:sz w:val="28"/>
          <w:szCs w:val="28"/>
          <w:highlight w:val="none"/>
          <w:shd w:val="clear" w:color="auto" w:fill="FFFFFF"/>
          <w:lang w:val="en-US" w:eastAsia="zh-CN"/>
        </w:rPr>
        <w:t>服务</w:t>
      </w:r>
      <w:r>
        <w:rPr>
          <w:rFonts w:hint="eastAsia" w:ascii="仿宋" w:hAnsi="仿宋" w:eastAsia="仿宋" w:cs="仿宋"/>
          <w:color w:val="000000"/>
          <w:sz w:val="28"/>
          <w:szCs w:val="28"/>
          <w:highlight w:val="none"/>
          <w:lang w:val="en-US" w:eastAsia="zh-CN"/>
        </w:rPr>
        <w:t>；要求各项服务、产品标准符合国家、省、市（行业）强制性标准及甲方要求的合格标准</w:t>
      </w:r>
      <w:r>
        <w:rPr>
          <w:rFonts w:hint="eastAsia" w:ascii="仿宋" w:hAnsi="仿宋" w:eastAsia="仿宋" w:cs="仿宋"/>
          <w:color w:val="000000"/>
          <w:sz w:val="28"/>
          <w:szCs w:val="28"/>
          <w:highlight w:val="none"/>
          <w:lang w:eastAsia="zh-CN"/>
        </w:rPr>
        <w:t>。</w:t>
      </w:r>
    </w:p>
    <w:p w14:paraId="25418C5E">
      <w:pPr>
        <w:keepNext w:val="0"/>
        <w:keepLines w:val="0"/>
        <w:pageBreakBefore w:val="0"/>
        <w:wordWrap/>
        <w:overflowPunct/>
        <w:topLinePunct w:val="0"/>
        <w:bidi w:val="0"/>
        <w:spacing w:beforeAutospacing="0" w:afterAutospacing="0" w:line="36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w:t>
      </w:r>
      <w:r>
        <w:rPr>
          <w:rFonts w:hint="eastAsia" w:ascii="仿宋" w:hAnsi="仿宋" w:eastAsia="仿宋" w:cs="仿宋"/>
          <w:b/>
          <w:color w:val="000000"/>
          <w:sz w:val="28"/>
          <w:szCs w:val="28"/>
          <w:highlight w:val="none"/>
          <w:lang w:val="en-US" w:eastAsia="zh-CN"/>
        </w:rPr>
        <w:t>二</w:t>
      </w:r>
      <w:r>
        <w:rPr>
          <w:rFonts w:hint="eastAsia" w:ascii="仿宋" w:hAnsi="仿宋" w:eastAsia="仿宋" w:cs="仿宋"/>
          <w:b/>
          <w:color w:val="000000"/>
          <w:sz w:val="28"/>
          <w:szCs w:val="28"/>
          <w:highlight w:val="none"/>
        </w:rPr>
        <w:t>条 服务期限</w:t>
      </w:r>
    </w:p>
    <w:p w14:paraId="0542BF87">
      <w:pPr>
        <w:keepNext w:val="0"/>
        <w:keepLines w:val="0"/>
        <w:pageBreakBefore w:val="0"/>
        <w:wordWrap/>
        <w:overflowPunct/>
        <w:topLinePunct w:val="0"/>
        <w:bidi w:val="0"/>
        <w:spacing w:beforeAutospacing="0" w:afterAutospacing="0" w:line="360" w:lineRule="auto"/>
        <w:ind w:right="-199" w:rightChars="-95"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自</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日至</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u w:val="single"/>
          <w:lang w:val="en-US" w:eastAsia="zh-CN"/>
        </w:rPr>
        <w:t xml:space="preserve"> </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年</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月</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日</w:t>
      </w:r>
    </w:p>
    <w:p w14:paraId="04623AA9">
      <w:pPr>
        <w:keepNext w:val="0"/>
        <w:keepLines w:val="0"/>
        <w:pageBreakBefore w:val="0"/>
        <w:wordWrap/>
        <w:overflowPunct/>
        <w:topLinePunct w:val="0"/>
        <w:bidi w:val="0"/>
        <w:spacing w:beforeAutospacing="0" w:afterAutospacing="0" w:line="360" w:lineRule="auto"/>
        <w:rPr>
          <w:rFonts w:hint="eastAsia" w:ascii="仿宋" w:hAnsi="仿宋" w:eastAsia="仿宋" w:cs="仿宋"/>
          <w:color w:val="000000"/>
          <w:spacing w:val="6"/>
          <w:kern w:val="60"/>
          <w:sz w:val="28"/>
          <w:szCs w:val="28"/>
          <w:highlight w:val="none"/>
        </w:rPr>
      </w:pPr>
      <w:r>
        <w:rPr>
          <w:rFonts w:hint="eastAsia" w:ascii="仿宋" w:hAnsi="仿宋" w:eastAsia="仿宋" w:cs="仿宋"/>
          <w:b/>
          <w:color w:val="000000"/>
          <w:sz w:val="28"/>
          <w:szCs w:val="28"/>
          <w:highlight w:val="none"/>
        </w:rPr>
        <w:t>第</w:t>
      </w:r>
      <w:r>
        <w:rPr>
          <w:rFonts w:hint="eastAsia" w:ascii="仿宋" w:hAnsi="仿宋" w:eastAsia="仿宋" w:cs="仿宋"/>
          <w:b/>
          <w:color w:val="000000"/>
          <w:sz w:val="28"/>
          <w:szCs w:val="28"/>
          <w:highlight w:val="none"/>
          <w:lang w:val="en-US" w:eastAsia="zh-CN"/>
        </w:rPr>
        <w:t>三</w:t>
      </w:r>
      <w:r>
        <w:rPr>
          <w:rFonts w:hint="eastAsia" w:ascii="仿宋" w:hAnsi="仿宋" w:eastAsia="仿宋" w:cs="仿宋"/>
          <w:b/>
          <w:color w:val="000000"/>
          <w:sz w:val="28"/>
          <w:szCs w:val="28"/>
          <w:highlight w:val="none"/>
        </w:rPr>
        <w:t>条  合同价款及支付方式</w:t>
      </w:r>
    </w:p>
    <w:p w14:paraId="19564D57">
      <w:pPr>
        <w:keepNext w:val="0"/>
        <w:keepLines w:val="0"/>
        <w:pageBreakBefore w:val="0"/>
        <w:wordWrap/>
        <w:overflowPunct/>
        <w:topLinePunct w:val="0"/>
        <w:bidi w:val="0"/>
        <w:spacing w:beforeAutospacing="0" w:afterAutospacing="0" w:line="360" w:lineRule="auto"/>
        <w:ind w:firstLine="560" w:firstLineChars="20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rPr>
        <w:t>1、</w:t>
      </w:r>
      <w:r>
        <w:rPr>
          <w:rFonts w:hint="eastAsia" w:ascii="仿宋" w:hAnsi="仿宋" w:eastAsia="仿宋" w:cs="仿宋"/>
          <w:color w:val="000000"/>
          <w:sz w:val="28"/>
          <w:szCs w:val="28"/>
          <w:highlight w:val="none"/>
          <w:shd w:val="clear" w:color="auto" w:fill="FFFFFF"/>
          <w:lang w:val="en-US" w:eastAsia="zh-CN"/>
        </w:rPr>
        <w:t>结算折扣率为：</w:t>
      </w:r>
      <w:r>
        <w:rPr>
          <w:rFonts w:hint="eastAsia" w:ascii="仿宋" w:hAnsi="仿宋" w:eastAsia="仿宋" w:cs="仿宋"/>
          <w:color w:val="000000"/>
          <w:sz w:val="28"/>
          <w:szCs w:val="28"/>
          <w:highlight w:val="none"/>
          <w:u w:val="single"/>
          <w:shd w:val="clear" w:color="auto" w:fill="FFFFFF"/>
        </w:rPr>
        <w:t xml:space="preserve">        </w:t>
      </w:r>
      <w:r>
        <w:rPr>
          <w:rFonts w:hint="eastAsia" w:ascii="仿宋" w:hAnsi="仿宋" w:eastAsia="仿宋" w:cs="仿宋"/>
          <w:color w:val="000000"/>
          <w:sz w:val="28"/>
          <w:szCs w:val="28"/>
          <w:highlight w:val="none"/>
          <w:shd w:val="clear" w:color="auto" w:fill="FFFFFF"/>
        </w:rPr>
        <w:t>。</w:t>
      </w:r>
    </w:p>
    <w:p w14:paraId="6D138D12">
      <w:pPr>
        <w:keepNext w:val="0"/>
        <w:keepLines w:val="0"/>
        <w:pageBreakBefore w:val="0"/>
        <w:wordWrap/>
        <w:overflowPunct/>
        <w:topLinePunct w:val="0"/>
        <w:bidi w:val="0"/>
        <w:spacing w:beforeAutospacing="0" w:afterAutospacing="0" w:line="360" w:lineRule="auto"/>
        <w:ind w:left="3812" w:firstLine="406"/>
        <w:rPr>
          <w:rFonts w:hint="eastAsia" w:ascii="仿宋" w:hAnsi="仿宋" w:eastAsia="仿宋" w:cs="仿宋"/>
          <w:b/>
          <w:bCs/>
          <w:color w:val="000000"/>
          <w:spacing w:val="-4"/>
          <w:sz w:val="28"/>
          <w:szCs w:val="28"/>
          <w:highlight w:val="none"/>
        </w:rPr>
      </w:pPr>
      <w:r>
        <w:rPr>
          <w:rFonts w:hint="eastAsia" w:ascii="仿宋" w:hAnsi="仿宋" w:eastAsia="仿宋" w:cs="仿宋"/>
          <w:b/>
          <w:bCs/>
          <w:color w:val="000000"/>
          <w:spacing w:val="-4"/>
          <w:sz w:val="28"/>
          <w:szCs w:val="28"/>
          <w:highlight w:val="none"/>
        </w:rPr>
        <w:t>清单一览表</w:t>
      </w:r>
    </w:p>
    <w:tbl>
      <w:tblPr>
        <w:tblStyle w:val="10"/>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578"/>
        <w:gridCol w:w="1985"/>
        <w:gridCol w:w="1276"/>
        <w:gridCol w:w="1417"/>
        <w:gridCol w:w="1559"/>
      </w:tblGrid>
      <w:tr w14:paraId="750816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21" w:type="dxa"/>
            <w:vAlign w:val="center"/>
          </w:tcPr>
          <w:p w14:paraId="670A8C7F">
            <w:pPr>
              <w:pStyle w:val="3"/>
              <w:keepNext w:val="0"/>
              <w:keepLines w:val="0"/>
              <w:pageBreakBefore w:val="0"/>
              <w:wordWrap/>
              <w:overflowPunct/>
              <w:topLinePunct w:val="0"/>
              <w:bidi w:val="0"/>
              <w:spacing w:before="0" w:beforeLines="0" w:beforeAutospacing="0" w:afterAutospacing="0" w:line="360" w:lineRule="auto"/>
              <w:ind w:firstLine="0"/>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序号</w:t>
            </w:r>
          </w:p>
        </w:tc>
        <w:tc>
          <w:tcPr>
            <w:tcW w:w="2578" w:type="dxa"/>
            <w:vAlign w:val="center"/>
          </w:tcPr>
          <w:p w14:paraId="4E7F0D87">
            <w:pPr>
              <w:pStyle w:val="3"/>
              <w:keepNext w:val="0"/>
              <w:keepLines w:val="0"/>
              <w:pageBreakBefore w:val="0"/>
              <w:wordWrap/>
              <w:overflowPunct/>
              <w:topLinePunct w:val="0"/>
              <w:bidi w:val="0"/>
              <w:spacing w:before="0" w:beforeLines="0" w:beforeAutospacing="0" w:afterAutospacing="0" w:line="360" w:lineRule="auto"/>
              <w:ind w:firstLine="0"/>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服务名称</w:t>
            </w:r>
          </w:p>
        </w:tc>
        <w:tc>
          <w:tcPr>
            <w:tcW w:w="1985" w:type="dxa"/>
            <w:vAlign w:val="center"/>
          </w:tcPr>
          <w:p w14:paraId="70FDD177">
            <w:pPr>
              <w:pStyle w:val="3"/>
              <w:keepNext w:val="0"/>
              <w:keepLines w:val="0"/>
              <w:pageBreakBefore w:val="0"/>
              <w:wordWrap/>
              <w:overflowPunct/>
              <w:topLinePunct w:val="0"/>
              <w:bidi w:val="0"/>
              <w:spacing w:before="0" w:beforeLines="0" w:beforeAutospacing="0" w:afterAutospacing="0" w:line="360" w:lineRule="auto"/>
              <w:ind w:firstLine="0"/>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服务内容</w:t>
            </w:r>
          </w:p>
        </w:tc>
        <w:tc>
          <w:tcPr>
            <w:tcW w:w="1276" w:type="dxa"/>
            <w:vAlign w:val="center"/>
          </w:tcPr>
          <w:p w14:paraId="53C45B4F">
            <w:pPr>
              <w:pStyle w:val="3"/>
              <w:keepNext w:val="0"/>
              <w:keepLines w:val="0"/>
              <w:pageBreakBefore w:val="0"/>
              <w:wordWrap/>
              <w:overflowPunct/>
              <w:topLinePunct w:val="0"/>
              <w:bidi w:val="0"/>
              <w:spacing w:before="0" w:beforeLines="0" w:beforeAutospacing="0" w:afterAutospacing="0" w:line="360" w:lineRule="auto"/>
              <w:ind w:firstLine="0"/>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计量单位</w:t>
            </w:r>
          </w:p>
        </w:tc>
        <w:tc>
          <w:tcPr>
            <w:tcW w:w="1417" w:type="dxa"/>
            <w:vAlign w:val="center"/>
          </w:tcPr>
          <w:p w14:paraId="71807859">
            <w:pPr>
              <w:pStyle w:val="3"/>
              <w:keepNext w:val="0"/>
              <w:keepLines w:val="0"/>
              <w:pageBreakBefore w:val="0"/>
              <w:wordWrap/>
              <w:overflowPunct/>
              <w:topLinePunct w:val="0"/>
              <w:bidi w:val="0"/>
              <w:spacing w:before="0" w:beforeLines="0" w:beforeAutospacing="0" w:afterAutospacing="0" w:line="360" w:lineRule="auto"/>
              <w:ind w:firstLine="0"/>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数量</w:t>
            </w:r>
          </w:p>
        </w:tc>
        <w:tc>
          <w:tcPr>
            <w:tcW w:w="1559" w:type="dxa"/>
            <w:vAlign w:val="center"/>
          </w:tcPr>
          <w:p w14:paraId="78F185C9">
            <w:pPr>
              <w:pStyle w:val="3"/>
              <w:keepNext w:val="0"/>
              <w:keepLines w:val="0"/>
              <w:pageBreakBefore w:val="0"/>
              <w:wordWrap/>
              <w:overflowPunct/>
              <w:topLinePunct w:val="0"/>
              <w:bidi w:val="0"/>
              <w:spacing w:before="0" w:beforeLines="0" w:beforeAutospacing="0" w:afterAutospacing="0" w:line="360" w:lineRule="auto"/>
              <w:ind w:firstLine="0"/>
              <w:jc w:val="center"/>
              <w:rPr>
                <w:rFonts w:hint="eastAsia"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服务费用</w:t>
            </w:r>
          </w:p>
        </w:tc>
      </w:tr>
      <w:tr w14:paraId="7F86F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2DC1B6A4">
            <w:pPr>
              <w:pStyle w:val="11"/>
              <w:keepNext w:val="0"/>
              <w:keepLines w:val="0"/>
              <w:pageBreakBefore w:val="0"/>
              <w:wordWrap/>
              <w:overflowPunct/>
              <w:topLinePunct w:val="0"/>
              <w:bidi w:val="0"/>
              <w:spacing w:beforeAutospacing="0" w:afterAutospacing="0" w:line="360" w:lineRule="auto"/>
              <w:ind w:firstLine="210"/>
              <w:rPr>
                <w:rFonts w:hint="eastAsia" w:ascii="仿宋" w:hAnsi="仿宋" w:eastAsia="仿宋" w:cs="仿宋"/>
                <w:snapToGrid/>
                <w:color w:val="000000"/>
                <w:sz w:val="28"/>
                <w:szCs w:val="28"/>
                <w:highlight w:val="none"/>
              </w:rPr>
            </w:pPr>
          </w:p>
        </w:tc>
        <w:tc>
          <w:tcPr>
            <w:tcW w:w="2578" w:type="dxa"/>
            <w:vAlign w:val="center"/>
          </w:tcPr>
          <w:p w14:paraId="758BD4CF">
            <w:pPr>
              <w:pStyle w:val="11"/>
              <w:keepNext w:val="0"/>
              <w:keepLines w:val="0"/>
              <w:pageBreakBefore w:val="0"/>
              <w:wordWrap/>
              <w:overflowPunct/>
              <w:topLinePunct w:val="0"/>
              <w:bidi w:val="0"/>
              <w:spacing w:beforeAutospacing="0" w:afterAutospacing="0" w:line="360" w:lineRule="auto"/>
              <w:ind w:firstLine="210"/>
              <w:rPr>
                <w:rFonts w:hint="eastAsia" w:ascii="仿宋" w:hAnsi="仿宋" w:eastAsia="仿宋" w:cs="仿宋"/>
                <w:snapToGrid/>
                <w:color w:val="000000"/>
                <w:sz w:val="28"/>
                <w:szCs w:val="28"/>
                <w:highlight w:val="none"/>
              </w:rPr>
            </w:pPr>
          </w:p>
        </w:tc>
        <w:tc>
          <w:tcPr>
            <w:tcW w:w="1985" w:type="dxa"/>
            <w:vAlign w:val="center"/>
          </w:tcPr>
          <w:p w14:paraId="648B7F0E">
            <w:pPr>
              <w:pStyle w:val="11"/>
              <w:keepNext w:val="0"/>
              <w:keepLines w:val="0"/>
              <w:pageBreakBefore w:val="0"/>
              <w:wordWrap/>
              <w:overflowPunct/>
              <w:topLinePunct w:val="0"/>
              <w:bidi w:val="0"/>
              <w:spacing w:beforeAutospacing="0" w:afterAutospacing="0" w:line="360" w:lineRule="auto"/>
              <w:ind w:firstLine="210"/>
              <w:rPr>
                <w:rFonts w:hint="eastAsia" w:ascii="仿宋" w:hAnsi="仿宋" w:eastAsia="仿宋" w:cs="仿宋"/>
                <w:snapToGrid/>
                <w:color w:val="000000"/>
                <w:sz w:val="28"/>
                <w:szCs w:val="28"/>
                <w:highlight w:val="none"/>
              </w:rPr>
            </w:pPr>
          </w:p>
        </w:tc>
        <w:tc>
          <w:tcPr>
            <w:tcW w:w="1276" w:type="dxa"/>
            <w:vAlign w:val="center"/>
          </w:tcPr>
          <w:p w14:paraId="39A5EF23">
            <w:pPr>
              <w:keepNext w:val="0"/>
              <w:keepLines w:val="0"/>
              <w:pageBreakBefore w:val="0"/>
              <w:wordWrap/>
              <w:overflowPunct/>
              <w:topLinePunct w:val="0"/>
              <w:bidi w:val="0"/>
              <w:spacing w:beforeAutospacing="0" w:afterAutospacing="0" w:line="360" w:lineRule="auto"/>
              <w:ind w:left="5250" w:right="-199" w:firstLine="420"/>
              <w:jc w:val="center"/>
              <w:rPr>
                <w:rFonts w:hint="eastAsia" w:ascii="仿宋" w:hAnsi="仿宋" w:eastAsia="仿宋" w:cs="仿宋"/>
                <w:bCs/>
                <w:snapToGrid w:val="0"/>
                <w:color w:val="000000"/>
                <w:kern w:val="0"/>
                <w:sz w:val="28"/>
                <w:szCs w:val="28"/>
                <w:highlight w:val="none"/>
              </w:rPr>
            </w:pPr>
            <w:r>
              <w:rPr>
                <w:rFonts w:hint="eastAsia" w:ascii="仿宋" w:hAnsi="仿宋" w:eastAsia="仿宋" w:cs="仿宋"/>
                <w:bCs/>
                <w:snapToGrid w:val="0"/>
                <w:color w:val="000000"/>
                <w:kern w:val="0"/>
                <w:sz w:val="28"/>
                <w:szCs w:val="28"/>
                <w:highlight w:val="none"/>
              </w:rPr>
              <w:t>个</w:t>
            </w:r>
          </w:p>
        </w:tc>
        <w:tc>
          <w:tcPr>
            <w:tcW w:w="1417" w:type="dxa"/>
            <w:vAlign w:val="center"/>
          </w:tcPr>
          <w:p w14:paraId="7DAC9141">
            <w:pPr>
              <w:keepNext w:val="0"/>
              <w:keepLines w:val="0"/>
              <w:pageBreakBefore w:val="0"/>
              <w:wordWrap/>
              <w:overflowPunct/>
              <w:topLinePunct w:val="0"/>
              <w:bidi w:val="0"/>
              <w:spacing w:beforeAutospacing="0" w:afterAutospacing="0" w:line="360" w:lineRule="auto"/>
              <w:ind w:left="5250" w:right="-199" w:firstLine="420"/>
              <w:jc w:val="center"/>
              <w:rPr>
                <w:rFonts w:hint="eastAsia" w:ascii="仿宋" w:hAnsi="仿宋" w:eastAsia="仿宋" w:cs="仿宋"/>
                <w:bCs/>
                <w:snapToGrid w:val="0"/>
                <w:color w:val="000000"/>
                <w:kern w:val="0"/>
                <w:sz w:val="28"/>
                <w:szCs w:val="28"/>
                <w:highlight w:val="none"/>
              </w:rPr>
            </w:pPr>
          </w:p>
        </w:tc>
        <w:tc>
          <w:tcPr>
            <w:tcW w:w="1559" w:type="dxa"/>
            <w:vAlign w:val="center"/>
          </w:tcPr>
          <w:p w14:paraId="0855C183">
            <w:pPr>
              <w:keepNext w:val="0"/>
              <w:keepLines w:val="0"/>
              <w:pageBreakBefore w:val="0"/>
              <w:wordWrap/>
              <w:overflowPunct/>
              <w:topLinePunct w:val="0"/>
              <w:bidi w:val="0"/>
              <w:spacing w:beforeAutospacing="0" w:afterAutospacing="0" w:line="360" w:lineRule="auto"/>
              <w:ind w:left="5250" w:right="-199" w:firstLine="420"/>
              <w:jc w:val="center"/>
              <w:rPr>
                <w:rFonts w:hint="eastAsia" w:ascii="仿宋" w:hAnsi="仿宋" w:eastAsia="仿宋" w:cs="仿宋"/>
                <w:bCs/>
                <w:snapToGrid w:val="0"/>
                <w:color w:val="000000"/>
                <w:kern w:val="0"/>
                <w:sz w:val="28"/>
                <w:szCs w:val="28"/>
                <w:highlight w:val="none"/>
              </w:rPr>
            </w:pPr>
          </w:p>
        </w:tc>
      </w:tr>
      <w:tr w14:paraId="1CACE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10DF5740">
            <w:pPr>
              <w:pStyle w:val="11"/>
              <w:keepNext w:val="0"/>
              <w:keepLines w:val="0"/>
              <w:pageBreakBefore w:val="0"/>
              <w:wordWrap/>
              <w:overflowPunct/>
              <w:topLinePunct w:val="0"/>
              <w:bidi w:val="0"/>
              <w:spacing w:beforeAutospacing="0" w:afterAutospacing="0" w:line="360" w:lineRule="auto"/>
              <w:ind w:firstLine="210"/>
              <w:rPr>
                <w:rFonts w:hint="eastAsia" w:ascii="仿宋" w:hAnsi="仿宋" w:eastAsia="仿宋" w:cs="仿宋"/>
                <w:snapToGrid/>
                <w:color w:val="000000"/>
                <w:sz w:val="28"/>
                <w:szCs w:val="28"/>
                <w:highlight w:val="none"/>
              </w:rPr>
            </w:pPr>
          </w:p>
        </w:tc>
        <w:tc>
          <w:tcPr>
            <w:tcW w:w="2578" w:type="dxa"/>
            <w:vAlign w:val="center"/>
          </w:tcPr>
          <w:p w14:paraId="7676872D">
            <w:pPr>
              <w:pStyle w:val="11"/>
              <w:keepNext w:val="0"/>
              <w:keepLines w:val="0"/>
              <w:pageBreakBefore w:val="0"/>
              <w:wordWrap/>
              <w:overflowPunct/>
              <w:topLinePunct w:val="0"/>
              <w:bidi w:val="0"/>
              <w:spacing w:beforeAutospacing="0" w:afterAutospacing="0" w:line="360" w:lineRule="auto"/>
              <w:ind w:firstLine="210"/>
              <w:rPr>
                <w:rFonts w:hint="eastAsia" w:ascii="仿宋" w:hAnsi="仿宋" w:eastAsia="仿宋" w:cs="仿宋"/>
                <w:snapToGrid/>
                <w:color w:val="000000"/>
                <w:sz w:val="28"/>
                <w:szCs w:val="28"/>
                <w:highlight w:val="none"/>
              </w:rPr>
            </w:pPr>
          </w:p>
        </w:tc>
        <w:tc>
          <w:tcPr>
            <w:tcW w:w="1985" w:type="dxa"/>
            <w:vAlign w:val="center"/>
          </w:tcPr>
          <w:p w14:paraId="4B8480A9">
            <w:pPr>
              <w:pStyle w:val="11"/>
              <w:keepNext w:val="0"/>
              <w:keepLines w:val="0"/>
              <w:pageBreakBefore w:val="0"/>
              <w:wordWrap/>
              <w:overflowPunct/>
              <w:topLinePunct w:val="0"/>
              <w:bidi w:val="0"/>
              <w:spacing w:beforeAutospacing="0" w:afterAutospacing="0" w:line="360" w:lineRule="auto"/>
              <w:ind w:firstLine="210"/>
              <w:rPr>
                <w:rFonts w:hint="eastAsia" w:ascii="仿宋" w:hAnsi="仿宋" w:eastAsia="仿宋" w:cs="仿宋"/>
                <w:snapToGrid/>
                <w:color w:val="000000"/>
                <w:sz w:val="28"/>
                <w:szCs w:val="28"/>
                <w:highlight w:val="none"/>
              </w:rPr>
            </w:pPr>
          </w:p>
        </w:tc>
        <w:tc>
          <w:tcPr>
            <w:tcW w:w="1276" w:type="dxa"/>
            <w:vAlign w:val="center"/>
          </w:tcPr>
          <w:p w14:paraId="491DBC2D">
            <w:pPr>
              <w:keepNext w:val="0"/>
              <w:keepLines w:val="0"/>
              <w:pageBreakBefore w:val="0"/>
              <w:wordWrap/>
              <w:overflowPunct/>
              <w:topLinePunct w:val="0"/>
              <w:bidi w:val="0"/>
              <w:spacing w:beforeAutospacing="0" w:afterAutospacing="0" w:line="360" w:lineRule="auto"/>
              <w:ind w:left="5250" w:right="-199" w:firstLine="420"/>
              <w:jc w:val="center"/>
              <w:rPr>
                <w:rFonts w:hint="eastAsia" w:ascii="仿宋" w:hAnsi="仿宋" w:eastAsia="仿宋" w:cs="仿宋"/>
                <w:bCs/>
                <w:snapToGrid w:val="0"/>
                <w:color w:val="000000"/>
                <w:kern w:val="0"/>
                <w:sz w:val="28"/>
                <w:szCs w:val="28"/>
                <w:highlight w:val="none"/>
              </w:rPr>
            </w:pPr>
          </w:p>
        </w:tc>
        <w:tc>
          <w:tcPr>
            <w:tcW w:w="1417" w:type="dxa"/>
            <w:vAlign w:val="center"/>
          </w:tcPr>
          <w:p w14:paraId="412B4D1C">
            <w:pPr>
              <w:keepNext w:val="0"/>
              <w:keepLines w:val="0"/>
              <w:pageBreakBefore w:val="0"/>
              <w:wordWrap/>
              <w:overflowPunct/>
              <w:topLinePunct w:val="0"/>
              <w:bidi w:val="0"/>
              <w:spacing w:beforeAutospacing="0" w:afterAutospacing="0" w:line="360" w:lineRule="auto"/>
              <w:ind w:left="5250" w:right="-199" w:firstLine="420"/>
              <w:jc w:val="center"/>
              <w:rPr>
                <w:rFonts w:hint="eastAsia" w:ascii="仿宋" w:hAnsi="仿宋" w:eastAsia="仿宋" w:cs="仿宋"/>
                <w:bCs/>
                <w:snapToGrid w:val="0"/>
                <w:color w:val="000000"/>
                <w:kern w:val="0"/>
                <w:sz w:val="28"/>
                <w:szCs w:val="28"/>
                <w:highlight w:val="none"/>
              </w:rPr>
            </w:pPr>
          </w:p>
        </w:tc>
        <w:tc>
          <w:tcPr>
            <w:tcW w:w="1559" w:type="dxa"/>
            <w:vAlign w:val="center"/>
          </w:tcPr>
          <w:p w14:paraId="38C2ABEF">
            <w:pPr>
              <w:keepNext w:val="0"/>
              <w:keepLines w:val="0"/>
              <w:pageBreakBefore w:val="0"/>
              <w:wordWrap/>
              <w:overflowPunct/>
              <w:topLinePunct w:val="0"/>
              <w:bidi w:val="0"/>
              <w:spacing w:beforeAutospacing="0" w:afterAutospacing="0" w:line="360" w:lineRule="auto"/>
              <w:ind w:left="5250" w:right="-199" w:firstLine="420"/>
              <w:jc w:val="center"/>
              <w:rPr>
                <w:rFonts w:hint="eastAsia" w:ascii="仿宋" w:hAnsi="仿宋" w:eastAsia="仿宋" w:cs="仿宋"/>
                <w:bCs/>
                <w:snapToGrid w:val="0"/>
                <w:color w:val="000000"/>
                <w:kern w:val="0"/>
                <w:sz w:val="28"/>
                <w:szCs w:val="28"/>
                <w:highlight w:val="none"/>
              </w:rPr>
            </w:pPr>
          </w:p>
        </w:tc>
      </w:tr>
      <w:tr w14:paraId="20F19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6" w:hRule="atLeast"/>
          <w:jc w:val="center"/>
        </w:trPr>
        <w:tc>
          <w:tcPr>
            <w:tcW w:w="9636" w:type="dxa"/>
            <w:gridSpan w:val="6"/>
            <w:vAlign w:val="center"/>
          </w:tcPr>
          <w:p w14:paraId="194A441F">
            <w:pPr>
              <w:keepNext w:val="0"/>
              <w:keepLines w:val="0"/>
              <w:pageBreakBefore w:val="0"/>
              <w:widowControl w:val="0"/>
              <w:kinsoku/>
              <w:wordWrap/>
              <w:overflowPunct/>
              <w:topLinePunct w:val="0"/>
              <w:autoSpaceDE/>
              <w:autoSpaceDN/>
              <w:bidi w:val="0"/>
              <w:adjustRightInd/>
              <w:snapToGrid/>
              <w:spacing w:line="216" w:lineRule="auto"/>
              <w:textAlignment w:val="auto"/>
              <w:rPr>
                <w:rFonts w:hint="eastAsia" w:ascii="仿宋" w:hAnsi="仿宋" w:eastAsia="仿宋" w:cs="仿宋"/>
                <w:color w:val="000000"/>
                <w:kern w:val="0"/>
                <w:sz w:val="28"/>
                <w:szCs w:val="28"/>
                <w:highlight w:val="none"/>
              </w:rPr>
            </w:pPr>
            <w:r>
              <w:rPr>
                <w:rFonts w:hint="eastAsia" w:ascii="仿宋" w:hAnsi="仿宋" w:eastAsia="仿宋" w:cs="仿宋"/>
                <w:b/>
                <w:bCs/>
                <w:color w:val="000000"/>
                <w:kern w:val="0"/>
                <w:sz w:val="28"/>
                <w:szCs w:val="28"/>
                <w:highlight w:val="none"/>
              </w:rPr>
              <w:t>注：</w:t>
            </w:r>
            <w:r>
              <w:rPr>
                <w:rFonts w:hint="eastAsia" w:ascii="仿宋" w:hAnsi="仿宋" w:eastAsia="仿宋" w:cs="仿宋"/>
                <w:b w:val="0"/>
                <w:bCs w:val="0"/>
                <w:color w:val="000000"/>
                <w:kern w:val="0"/>
                <w:sz w:val="28"/>
                <w:szCs w:val="28"/>
                <w:highlight w:val="none"/>
              </w:rPr>
              <w:t>合同</w:t>
            </w:r>
            <w:r>
              <w:rPr>
                <w:rFonts w:hint="eastAsia" w:ascii="仿宋" w:hAnsi="仿宋" w:eastAsia="仿宋" w:cs="仿宋"/>
                <w:i w:val="0"/>
                <w:iCs w:val="0"/>
                <w:caps w:val="0"/>
                <w:color w:val="000000"/>
                <w:spacing w:val="0"/>
                <w:sz w:val="28"/>
                <w:szCs w:val="28"/>
                <w:highlight w:val="none"/>
                <w:shd w:val="clear" w:color="auto" w:fill="FFFFFF"/>
                <w:lang w:val="en-US" w:eastAsia="zh-CN"/>
              </w:rPr>
              <w:t>价款是完成全部服务内容</w:t>
            </w:r>
            <w:r>
              <w:rPr>
                <w:rFonts w:hint="eastAsia" w:ascii="仿宋" w:hAnsi="仿宋" w:eastAsia="仿宋" w:cs="仿宋"/>
                <w:b w:val="0"/>
                <w:bCs w:val="0"/>
                <w:color w:val="000000"/>
                <w:kern w:val="0"/>
                <w:sz w:val="28"/>
                <w:szCs w:val="28"/>
                <w:highlight w:val="none"/>
              </w:rPr>
              <w:t>所需的直接费用、间接费、利润、税金及其它相关的一切费用，包括但不限于：人工费、食材采购费、配送费、社保、取暖费、降温费、人员工资、保险费、管理费、验收费、服务费（含售后）、利润和税金等全部费用；在提供服务的过程中的任何遗漏，均由乙方免费提供，甲方将不再支付任何费用）。</w:t>
            </w:r>
          </w:p>
        </w:tc>
      </w:tr>
    </w:tbl>
    <w:p w14:paraId="6BA0083B">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按月据实结算（按各大市场食材平均价格*实际配送数量*折扣率），次月15日前甲方根据乙方提供所供货物清单对所供货物的数量、价格、折扣率等进行核实，经核实无误后在供货结算单上签字确认，一次性据实结算上月的费用。</w:t>
      </w:r>
    </w:p>
    <w:p w14:paraId="1D6EF92D">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付款前，乙方应开具与付款金额一致的正式发票给甲方，甲方收到发票后以银行转账形式支付给乙方服务费用；因乙方未在规定时间内提供所供货物清单或发票而导致结算延迟的，甲方有权拒绝付款且不承担任何违约责任，且乙方不得以此为由停止履行本合同项下的任意义务。</w:t>
      </w:r>
    </w:p>
    <w:p w14:paraId="581899C6">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4、因甲方所有的付款均审批，本合同履行期间，非因甲方故意拖延付款申请流程或年终预决算等特殊原因造成的逾期付款的，乙方对此予以谅解且不得追究甲方的逾期付款责任。</w:t>
      </w:r>
    </w:p>
    <w:p w14:paraId="7B529316">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甲方可直接或间接地根据政府购买服务绩效管理办法对项目进行绩效评价，资金支付将与绩效评价结果关联，其中评价结果为优的，付至合同总价的%，评价结果为良好的，付至合同总价的%，评价结果为合格的，付至合同总价的%，评价结果为差的，付至合同总价的%。（90分以上为优秀，80分以上、不足90分的为良好，60分以上、不足80分的为合格，不足60分的为不合格）</w:t>
      </w:r>
    </w:p>
    <w:p w14:paraId="1709F67D">
      <w:pPr>
        <w:keepNext w:val="0"/>
        <w:keepLines w:val="0"/>
        <w:pageBreakBefore w:val="0"/>
        <w:wordWrap/>
        <w:overflowPunct/>
        <w:topLinePunct w:val="0"/>
        <w:bidi w:val="0"/>
        <w:spacing w:beforeAutospacing="0" w:afterAutospacing="0" w:line="36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w:t>
      </w:r>
      <w:r>
        <w:rPr>
          <w:rFonts w:hint="eastAsia" w:ascii="仿宋" w:hAnsi="仿宋" w:eastAsia="仿宋" w:cs="仿宋"/>
          <w:b/>
          <w:color w:val="000000"/>
          <w:sz w:val="28"/>
          <w:szCs w:val="28"/>
          <w:highlight w:val="none"/>
          <w:lang w:val="en-US" w:eastAsia="zh-CN"/>
        </w:rPr>
        <w:t>四</w:t>
      </w:r>
      <w:r>
        <w:rPr>
          <w:rFonts w:hint="eastAsia" w:ascii="仿宋" w:hAnsi="仿宋" w:eastAsia="仿宋" w:cs="仿宋"/>
          <w:b/>
          <w:color w:val="000000"/>
          <w:sz w:val="28"/>
          <w:szCs w:val="28"/>
          <w:highlight w:val="none"/>
        </w:rPr>
        <w:t xml:space="preserve">条  </w:t>
      </w:r>
      <w:r>
        <w:rPr>
          <w:rFonts w:hint="eastAsia" w:ascii="仿宋" w:hAnsi="仿宋" w:eastAsia="仿宋" w:cs="仿宋"/>
          <w:b/>
          <w:color w:val="000000"/>
          <w:sz w:val="28"/>
          <w:szCs w:val="28"/>
          <w:highlight w:val="none"/>
          <w:lang w:val="en-US" w:eastAsia="zh-CN"/>
        </w:rPr>
        <w:t>食材质量</w:t>
      </w:r>
    </w:p>
    <w:p w14:paraId="42E5473C">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配送的食材必须符合食品国家标准，食品供应链必须明确，禁止供应有毒、有害、腐烂变质、超过保质期限、酸败、霉变、混有异物或其他感官性状异常的食品，具体如下（包括但不限于）：</w:t>
      </w:r>
    </w:p>
    <w:p w14:paraId="58B82535">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肉禽类：肉身必须盖有卫生检疫章，须出具加盖国家或地方政府监督所检疫章的动物检疫证明。肉品须表皮洁净、膘厚适中、色泽鲜亮、纹理清晰、肉质细腻、无异味、去骨、无毛、按压无水迹。</w:t>
      </w:r>
    </w:p>
    <w:p w14:paraId="44D6C33B">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蔬菜类：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p w14:paraId="653748DE">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蛋类：新鲜、大小均匀、无破损、色泽光滑，须出具加盖地方政府监督所检疫章的动物检疫证明。</w:t>
      </w:r>
    </w:p>
    <w:p w14:paraId="158EB9C0">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豆制品：豆腐、豆腐干、绿豆芽、黄豆芽、红豆等；须保证食材干净、不含非食品用化学物质、按统一标准加工、码放整齐、</w:t>
      </w:r>
      <w:r>
        <w:rPr>
          <w:rFonts w:hint="eastAsia" w:ascii="仿宋" w:hAnsi="仿宋" w:eastAsia="仿宋" w:cs="仿宋"/>
          <w:color w:val="000000"/>
          <w:sz w:val="28"/>
          <w:szCs w:val="28"/>
          <w:highlight w:val="none"/>
          <w:lang w:eastAsia="zh-CN"/>
        </w:rPr>
        <w:t>无需</w:t>
      </w:r>
      <w:r>
        <w:rPr>
          <w:rFonts w:hint="eastAsia" w:ascii="仿宋" w:hAnsi="仿宋" w:eastAsia="仿宋" w:cs="仿宋"/>
          <w:color w:val="000000"/>
          <w:sz w:val="28"/>
          <w:szCs w:val="28"/>
          <w:highlight w:val="none"/>
        </w:rPr>
        <w:t>二次处理可以直接进行熟加工。</w:t>
      </w:r>
    </w:p>
    <w:p w14:paraId="59B84860">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水果：当季各类水果，无虫、无杂质，须48小时内采摘供应，原水果须保证果面干净、无明显泥土、码放整齐、无破损、大小基本统一、不得过熟或欠熟。</w:t>
      </w:r>
    </w:p>
    <w:p w14:paraId="1CE36575">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面条：鲜面条、干面条；要求原材料不含非食品用化学物质、不掺假、不过期、不变质、不变味、无杂质、无毒害，符合国家食品行业的标准。</w:t>
      </w:r>
    </w:p>
    <w:p w14:paraId="62D063B2">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水产品：草鱼、黑鱼、桂鱼、鲈鱼等鱼类要求体表光滑无病灶，有鲜鱼鳞片完整，无鳞鱼无浑浊</w:t>
      </w:r>
      <w:r>
        <w:rPr>
          <w:rFonts w:hint="eastAsia" w:ascii="仿宋" w:hAnsi="仿宋" w:eastAsia="仿宋" w:cs="仿宋"/>
          <w:color w:val="000000"/>
          <w:sz w:val="28"/>
          <w:szCs w:val="28"/>
          <w:highlight w:val="none"/>
          <w:lang w:eastAsia="zh-CN"/>
        </w:rPr>
        <w:t>黏液</w:t>
      </w:r>
      <w:r>
        <w:rPr>
          <w:rFonts w:hint="eastAsia" w:ascii="仿宋" w:hAnsi="仿宋" w:eastAsia="仿宋" w:cs="仿宋"/>
          <w:color w:val="000000"/>
          <w:sz w:val="28"/>
          <w:szCs w:val="28"/>
          <w:highlight w:val="none"/>
        </w:rPr>
        <w:t>，肉质紧密，呈白色或淡黄色眼球外突饱满透明，鳃丝清晰鲜红或暗红，保持活体状态固有本色，无异味，内脏清晰可辨无腐烂。</w:t>
      </w:r>
    </w:p>
    <w:p w14:paraId="6456BD8E">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冻品：冻品外包装需完整，无破损，无不封口现象，有生产日期。冻品在解冻后，发现质量问题需退货。符合国家绿色批发市场标准，应具备满足交易需要的冷冻贮藏设施，不得供应临期产品。</w:t>
      </w:r>
    </w:p>
    <w:p w14:paraId="710197F7">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调料：外包装无污物、无泄漏，无胀袋或胖听或鼓盖现象，无变质发霉现象。色泽正常，具有该品种固有的香味，滋味无异味，油酱均匀的酱体或无结块的粉状固体，封口平整，无破包，夹包，漏包，无污染。</w:t>
      </w:r>
    </w:p>
    <w:p w14:paraId="254DD40E">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注：凡涉及国家或行业相关标准的以最新标准为准，所有食材均须符合《中华人民共和国食品</w:t>
      </w:r>
      <w:r>
        <w:rPr>
          <w:rFonts w:hint="eastAsia" w:ascii="仿宋" w:hAnsi="仿宋" w:eastAsia="仿宋" w:cs="仿宋"/>
          <w:color w:val="000000"/>
          <w:sz w:val="28"/>
          <w:szCs w:val="28"/>
          <w:highlight w:val="none"/>
          <w:lang w:val="en-US" w:eastAsia="zh-CN"/>
        </w:rPr>
        <w:t>安全</w:t>
      </w:r>
      <w:r>
        <w:rPr>
          <w:rFonts w:hint="eastAsia" w:ascii="仿宋" w:hAnsi="仿宋" w:eastAsia="仿宋" w:cs="仿宋"/>
          <w:color w:val="000000"/>
          <w:sz w:val="28"/>
          <w:szCs w:val="28"/>
          <w:highlight w:val="none"/>
        </w:rPr>
        <w:t>法》、《食品安全国家标准食品添加剂使用标准》（GB 2760-2024）等相关规定。如国家制定新的食品安全标准，即按新标准执行。</w:t>
      </w:r>
    </w:p>
    <w:p w14:paraId="125400BF">
      <w:pPr>
        <w:keepNext w:val="0"/>
        <w:keepLines w:val="0"/>
        <w:pageBreakBefore w:val="0"/>
        <w:wordWrap/>
        <w:overflowPunct/>
        <w:topLinePunct w:val="0"/>
        <w:bidi w:val="0"/>
        <w:spacing w:beforeAutospacing="0" w:afterAutospacing="0" w:line="36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w:t>
      </w:r>
      <w:r>
        <w:rPr>
          <w:rFonts w:hint="eastAsia" w:ascii="仿宋" w:hAnsi="仿宋" w:eastAsia="仿宋" w:cs="仿宋"/>
          <w:b/>
          <w:color w:val="000000"/>
          <w:sz w:val="28"/>
          <w:szCs w:val="28"/>
          <w:highlight w:val="none"/>
          <w:lang w:val="en-US" w:eastAsia="zh-CN"/>
        </w:rPr>
        <w:t>五</w:t>
      </w:r>
      <w:r>
        <w:rPr>
          <w:rFonts w:hint="eastAsia" w:ascii="仿宋" w:hAnsi="仿宋" w:eastAsia="仿宋" w:cs="仿宋"/>
          <w:b/>
          <w:color w:val="000000"/>
          <w:sz w:val="28"/>
          <w:szCs w:val="28"/>
          <w:highlight w:val="none"/>
        </w:rPr>
        <w:t>条 配送要求</w:t>
      </w:r>
    </w:p>
    <w:p w14:paraId="15603649">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val="en-US" w:eastAsia="zh-CN"/>
        </w:rPr>
        <w:t>1、乙方</w:t>
      </w:r>
      <w:r>
        <w:rPr>
          <w:rFonts w:hint="eastAsia" w:ascii="仿宋" w:hAnsi="仿宋" w:eastAsia="仿宋" w:cs="仿宋"/>
          <w:color w:val="000000"/>
          <w:sz w:val="28"/>
          <w:szCs w:val="28"/>
          <w:highlight w:val="none"/>
        </w:rPr>
        <w:t>必须将所报项目的服务人员在</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相关科室备案，保证</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在有供货需求时能顺利联系到服务人员</w:t>
      </w:r>
      <w:r>
        <w:rPr>
          <w:rFonts w:hint="eastAsia" w:ascii="仿宋" w:hAnsi="仿宋" w:eastAsia="仿宋" w:cs="仿宋"/>
          <w:color w:val="000000"/>
          <w:sz w:val="28"/>
          <w:szCs w:val="28"/>
          <w:highlight w:val="none"/>
          <w:lang w:eastAsia="zh-CN"/>
        </w:rPr>
        <w:t>。</w:t>
      </w:r>
    </w:p>
    <w:p w14:paraId="1BB38B59">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蔬菜类每日配送，当日配送种类与数量以前一天</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书面（传真或邮件）菜单为准，</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根据需求开出每日菜单的品种及数量，</w:t>
      </w:r>
      <w:r>
        <w:rPr>
          <w:rFonts w:hint="eastAsia" w:ascii="仿宋" w:hAnsi="仿宋" w:eastAsia="仿宋" w:cs="仿宋"/>
          <w:color w:val="000000"/>
          <w:sz w:val="28"/>
          <w:szCs w:val="28"/>
          <w:highlight w:val="none"/>
          <w:lang w:val="en-US" w:eastAsia="zh-CN"/>
        </w:rPr>
        <w:t>乙方</w:t>
      </w:r>
      <w:r>
        <w:rPr>
          <w:rFonts w:hint="eastAsia" w:ascii="仿宋" w:hAnsi="仿宋" w:eastAsia="仿宋" w:cs="仿宋"/>
          <w:color w:val="000000"/>
          <w:sz w:val="28"/>
          <w:szCs w:val="28"/>
          <w:highlight w:val="none"/>
        </w:rPr>
        <w:t>须在当日内做出响应，如有某些菜品出现市场断档，当日及时告知</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，以便</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做出必要调整，</w:t>
      </w:r>
      <w:r>
        <w:rPr>
          <w:rFonts w:hint="eastAsia" w:ascii="仿宋" w:hAnsi="仿宋" w:eastAsia="仿宋" w:cs="仿宋"/>
          <w:color w:val="000000"/>
          <w:sz w:val="28"/>
          <w:szCs w:val="28"/>
          <w:highlight w:val="none"/>
          <w:lang w:val="en-US" w:eastAsia="zh-CN"/>
        </w:rPr>
        <w:t>乙方</w:t>
      </w:r>
      <w:r>
        <w:rPr>
          <w:rFonts w:hint="eastAsia" w:ascii="仿宋" w:hAnsi="仿宋" w:eastAsia="仿宋" w:cs="仿宋"/>
          <w:color w:val="000000"/>
          <w:sz w:val="28"/>
          <w:szCs w:val="28"/>
          <w:highlight w:val="none"/>
        </w:rPr>
        <w:t>保证当日8点前将各类蔬菜配送至</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指定地点。</w:t>
      </w:r>
    </w:p>
    <w:p w14:paraId="0FDE6070">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原材料</w:t>
      </w:r>
      <w:r>
        <w:rPr>
          <w:rFonts w:hint="eastAsia" w:ascii="仿宋" w:hAnsi="仿宋" w:eastAsia="仿宋" w:cs="仿宋"/>
          <w:color w:val="000000"/>
          <w:sz w:val="28"/>
          <w:szCs w:val="28"/>
          <w:highlight w:val="none"/>
          <w:lang w:eastAsia="zh-CN"/>
        </w:rPr>
        <w:t>乙方</w:t>
      </w:r>
      <w:r>
        <w:rPr>
          <w:rFonts w:hint="eastAsia" w:ascii="仿宋" w:hAnsi="仿宋" w:eastAsia="仿宋" w:cs="仿宋"/>
          <w:color w:val="000000"/>
          <w:sz w:val="28"/>
          <w:szCs w:val="28"/>
          <w:highlight w:val="none"/>
        </w:rPr>
        <w:t>须保证所供原材料均为符合国家卫生、质量检验标准的正规产品，保证配送品种完全满足</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要求，所有原材料每日均留存样品一份，保存时间为36小时，确认期间无任何食品安全问题后丢弃。</w:t>
      </w:r>
    </w:p>
    <w:p w14:paraId="41517CD1">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肉禽蛋</w:t>
      </w:r>
      <w:r>
        <w:rPr>
          <w:rFonts w:hint="eastAsia" w:ascii="仿宋" w:hAnsi="仿宋" w:eastAsia="仿宋" w:cs="仿宋"/>
          <w:color w:val="000000"/>
          <w:sz w:val="28"/>
          <w:szCs w:val="28"/>
          <w:highlight w:val="none"/>
          <w:lang w:val="en-US" w:eastAsia="zh-CN"/>
        </w:rPr>
        <w:t>及</w:t>
      </w:r>
      <w:r>
        <w:rPr>
          <w:rFonts w:hint="eastAsia" w:ascii="仿宋" w:hAnsi="仿宋" w:eastAsia="仿宋" w:cs="仿宋"/>
          <w:color w:val="000000"/>
          <w:sz w:val="28"/>
          <w:szCs w:val="28"/>
          <w:highlight w:val="none"/>
        </w:rPr>
        <w:t>水产类由</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根据菜谱需求，提前书面（传真或邮件）告知肉禽蛋类</w:t>
      </w:r>
      <w:r>
        <w:rPr>
          <w:rFonts w:hint="eastAsia" w:ascii="仿宋" w:hAnsi="仿宋" w:eastAsia="仿宋" w:cs="仿宋"/>
          <w:color w:val="000000"/>
          <w:sz w:val="28"/>
          <w:szCs w:val="28"/>
          <w:highlight w:val="none"/>
          <w:lang w:eastAsia="zh-CN"/>
        </w:rPr>
        <w:t>乙方</w:t>
      </w:r>
      <w:r>
        <w:rPr>
          <w:rFonts w:hint="eastAsia" w:ascii="仿宋" w:hAnsi="仿宋" w:eastAsia="仿宋" w:cs="仿宋"/>
          <w:color w:val="000000"/>
          <w:sz w:val="28"/>
          <w:szCs w:val="28"/>
          <w:highlight w:val="none"/>
        </w:rPr>
        <w:t>肉禽蛋类需求计划，</w:t>
      </w:r>
      <w:r>
        <w:rPr>
          <w:rFonts w:hint="eastAsia" w:ascii="仿宋" w:hAnsi="仿宋" w:eastAsia="仿宋" w:cs="仿宋"/>
          <w:color w:val="000000"/>
          <w:sz w:val="28"/>
          <w:szCs w:val="28"/>
          <w:highlight w:val="none"/>
          <w:lang w:eastAsia="zh-CN"/>
        </w:rPr>
        <w:t>乙方</w:t>
      </w:r>
      <w:r>
        <w:rPr>
          <w:rFonts w:hint="eastAsia" w:ascii="仿宋" w:hAnsi="仿宋" w:eastAsia="仿宋" w:cs="仿宋"/>
          <w:color w:val="000000"/>
          <w:sz w:val="28"/>
          <w:szCs w:val="28"/>
          <w:highlight w:val="none"/>
        </w:rPr>
        <w:t>须在当日做出响应，如有某些菜品出现市场断档，当日及时告知</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，以便</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做出必要调整，肉禽蛋类</w:t>
      </w:r>
      <w:r>
        <w:rPr>
          <w:rFonts w:hint="eastAsia" w:ascii="仿宋" w:hAnsi="仿宋" w:eastAsia="仿宋" w:cs="仿宋"/>
          <w:color w:val="000000"/>
          <w:sz w:val="28"/>
          <w:szCs w:val="28"/>
          <w:highlight w:val="none"/>
          <w:lang w:eastAsia="zh-CN"/>
        </w:rPr>
        <w:t>乙方</w:t>
      </w:r>
      <w:r>
        <w:rPr>
          <w:rFonts w:hint="eastAsia" w:ascii="仿宋" w:hAnsi="仿宋" w:eastAsia="仿宋" w:cs="仿宋"/>
          <w:color w:val="000000"/>
          <w:sz w:val="28"/>
          <w:szCs w:val="28"/>
          <w:highlight w:val="none"/>
        </w:rPr>
        <w:t>根据菜谱上的每日需求，当天配送。</w:t>
      </w:r>
    </w:p>
    <w:p w14:paraId="1A94FB6D">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干货、调味品类由</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根据菜谱需求，提前书面（传真或邮件）告知</w:t>
      </w:r>
      <w:r>
        <w:rPr>
          <w:rFonts w:hint="eastAsia" w:ascii="仿宋" w:hAnsi="仿宋" w:eastAsia="仿宋" w:cs="仿宋"/>
          <w:color w:val="000000"/>
          <w:sz w:val="28"/>
          <w:szCs w:val="28"/>
          <w:highlight w:val="none"/>
          <w:lang w:eastAsia="zh-CN"/>
        </w:rPr>
        <w:t>乙方</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eastAsia="zh-CN"/>
        </w:rPr>
        <w:t>乙方</w:t>
      </w:r>
      <w:r>
        <w:rPr>
          <w:rFonts w:hint="eastAsia" w:ascii="仿宋" w:hAnsi="仿宋" w:eastAsia="仿宋" w:cs="仿宋"/>
          <w:color w:val="000000"/>
          <w:sz w:val="28"/>
          <w:szCs w:val="28"/>
          <w:highlight w:val="none"/>
        </w:rPr>
        <w:t>须在2日内书面（传真或邮件）告知</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准备情况，每周根据需要配送当周产品。</w:t>
      </w:r>
    </w:p>
    <w:p w14:paraId="221673D9">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rPr>
        <w:t>原材料供应管理：根据</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要求进行必要的货源组织，提供种类明细与价格。确保原材料新鲜、安全、及时的各类措施或组织管理办法。原材料</w:t>
      </w:r>
      <w:r>
        <w:rPr>
          <w:rFonts w:hint="eastAsia" w:ascii="仿宋" w:hAnsi="仿宋" w:eastAsia="仿宋" w:cs="仿宋"/>
          <w:color w:val="000000"/>
          <w:sz w:val="28"/>
          <w:szCs w:val="28"/>
          <w:highlight w:val="none"/>
          <w:lang w:eastAsia="zh-CN"/>
        </w:rPr>
        <w:t>乙方</w:t>
      </w:r>
      <w:r>
        <w:rPr>
          <w:rFonts w:hint="eastAsia" w:ascii="仿宋" w:hAnsi="仿宋" w:eastAsia="仿宋" w:cs="仿宋"/>
          <w:color w:val="000000"/>
          <w:sz w:val="28"/>
          <w:szCs w:val="28"/>
          <w:highlight w:val="none"/>
        </w:rPr>
        <w:t>对于自身原材料生产、外部原材料的采购、销售，其合格标准与检验标准。原材料</w:t>
      </w:r>
      <w:r>
        <w:rPr>
          <w:rFonts w:hint="eastAsia" w:ascii="仿宋" w:hAnsi="仿宋" w:eastAsia="仿宋" w:cs="仿宋"/>
          <w:color w:val="000000"/>
          <w:sz w:val="28"/>
          <w:szCs w:val="28"/>
          <w:highlight w:val="none"/>
          <w:lang w:eastAsia="zh-CN"/>
        </w:rPr>
        <w:t>乙方</w:t>
      </w:r>
      <w:r>
        <w:rPr>
          <w:rFonts w:hint="eastAsia" w:ascii="仿宋" w:hAnsi="仿宋" w:eastAsia="仿宋" w:cs="仿宋"/>
          <w:color w:val="000000"/>
          <w:sz w:val="28"/>
          <w:szCs w:val="28"/>
          <w:highlight w:val="none"/>
        </w:rPr>
        <w:t>对于可能的违约责任或食品安全责任的责任承担说明。</w:t>
      </w:r>
    </w:p>
    <w:p w14:paraId="5A873DBB">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lang w:val="en-US" w:eastAsia="zh-CN"/>
        </w:rPr>
        <w:t>7、</w:t>
      </w:r>
      <w:r>
        <w:rPr>
          <w:rFonts w:hint="eastAsia" w:ascii="仿宋" w:hAnsi="仿宋" w:eastAsia="仿宋" w:cs="仿宋"/>
          <w:color w:val="000000"/>
          <w:sz w:val="28"/>
          <w:szCs w:val="28"/>
          <w:highlight w:val="none"/>
          <w:lang w:eastAsia="zh-CN"/>
        </w:rPr>
        <w:t>乙方</w:t>
      </w:r>
      <w:r>
        <w:rPr>
          <w:rFonts w:hint="eastAsia" w:ascii="仿宋" w:hAnsi="仿宋" w:eastAsia="仿宋" w:cs="仿宋"/>
          <w:color w:val="000000"/>
          <w:sz w:val="28"/>
          <w:szCs w:val="28"/>
          <w:highlight w:val="none"/>
        </w:rPr>
        <w:t>应设有固定的经营场所</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具</w:t>
      </w:r>
      <w:r>
        <w:rPr>
          <w:rFonts w:hint="eastAsia" w:ascii="仿宋" w:hAnsi="仿宋" w:eastAsia="仿宋" w:cs="仿宋"/>
          <w:color w:val="000000"/>
          <w:sz w:val="28"/>
          <w:szCs w:val="28"/>
          <w:highlight w:val="none"/>
        </w:rPr>
        <w:t>有冷链配送服务，鲜活物品保证在送达指定地点后依旧新鲜</w:t>
      </w:r>
      <w:r>
        <w:rPr>
          <w:rFonts w:hint="eastAsia" w:ascii="仿宋" w:hAnsi="仿宋" w:eastAsia="仿宋" w:cs="仿宋"/>
          <w:color w:val="000000"/>
          <w:sz w:val="28"/>
          <w:szCs w:val="28"/>
          <w:highlight w:val="none"/>
          <w:lang w:eastAsia="zh-CN"/>
        </w:rPr>
        <w:t>。</w:t>
      </w:r>
    </w:p>
    <w:p w14:paraId="29A4E50D">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b/>
          <w:color w:val="000000"/>
          <w:sz w:val="28"/>
          <w:szCs w:val="28"/>
          <w:highlight w:val="none"/>
        </w:rPr>
      </w:pPr>
      <w:r>
        <w:rPr>
          <w:rFonts w:hint="eastAsia" w:ascii="仿宋" w:hAnsi="仿宋" w:eastAsia="仿宋" w:cs="仿宋"/>
          <w:color w:val="000000"/>
          <w:sz w:val="28"/>
          <w:szCs w:val="28"/>
          <w:highlight w:val="none"/>
          <w:lang w:val="en-US" w:eastAsia="zh-CN"/>
        </w:rPr>
        <w:t>8、</w:t>
      </w:r>
      <w:r>
        <w:rPr>
          <w:rFonts w:hint="eastAsia" w:ascii="仿宋" w:hAnsi="仿宋" w:eastAsia="仿宋" w:cs="仿宋"/>
          <w:color w:val="000000"/>
          <w:sz w:val="28"/>
          <w:szCs w:val="28"/>
          <w:highlight w:val="none"/>
        </w:rPr>
        <w:t>如遇</w:t>
      </w:r>
      <w:r>
        <w:rPr>
          <w:rFonts w:hint="eastAsia" w:ascii="仿宋" w:hAnsi="仿宋" w:eastAsia="仿宋" w:cs="仿宋"/>
          <w:color w:val="000000"/>
          <w:sz w:val="28"/>
          <w:szCs w:val="28"/>
          <w:highlight w:val="none"/>
          <w:lang w:eastAsia="zh-CN"/>
        </w:rPr>
        <w:t>甲方</w:t>
      </w:r>
      <w:r>
        <w:rPr>
          <w:rFonts w:hint="eastAsia" w:ascii="仿宋" w:hAnsi="仿宋" w:eastAsia="仿宋" w:cs="仿宋"/>
          <w:color w:val="000000"/>
          <w:sz w:val="28"/>
          <w:szCs w:val="28"/>
          <w:highlight w:val="none"/>
        </w:rPr>
        <w:t>所属单位出现紧急任务或加班备勤等突发状况时，</w:t>
      </w:r>
      <w:r>
        <w:rPr>
          <w:rFonts w:hint="eastAsia" w:ascii="仿宋" w:hAnsi="仿宋" w:eastAsia="仿宋" w:cs="仿宋"/>
          <w:color w:val="000000"/>
          <w:sz w:val="28"/>
          <w:szCs w:val="28"/>
          <w:highlight w:val="none"/>
          <w:lang w:eastAsia="zh-CN"/>
        </w:rPr>
        <w:t>乙方</w:t>
      </w:r>
      <w:r>
        <w:rPr>
          <w:rFonts w:hint="eastAsia" w:ascii="仿宋" w:hAnsi="仿宋" w:eastAsia="仿宋" w:cs="仿宋"/>
          <w:color w:val="000000"/>
          <w:sz w:val="28"/>
          <w:szCs w:val="28"/>
          <w:highlight w:val="none"/>
        </w:rPr>
        <w:t>必须在第一时间内将食品原材料配送到位</w:t>
      </w:r>
      <w:r>
        <w:rPr>
          <w:rFonts w:hint="eastAsia" w:ascii="仿宋" w:hAnsi="仿宋" w:eastAsia="仿宋" w:cs="仿宋"/>
          <w:color w:val="000000"/>
          <w:sz w:val="28"/>
          <w:szCs w:val="28"/>
          <w:highlight w:val="none"/>
          <w:lang w:eastAsia="zh-CN"/>
        </w:rPr>
        <w:t>。</w:t>
      </w:r>
    </w:p>
    <w:p w14:paraId="40BD3403">
      <w:pPr>
        <w:keepNext w:val="0"/>
        <w:keepLines w:val="0"/>
        <w:pageBreakBefore w:val="0"/>
        <w:wordWrap/>
        <w:overflowPunct/>
        <w:topLinePunct w:val="0"/>
        <w:bidi w:val="0"/>
        <w:spacing w:beforeAutospacing="0" w:afterAutospacing="0" w:line="36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w:t>
      </w:r>
      <w:r>
        <w:rPr>
          <w:rFonts w:hint="eastAsia" w:ascii="仿宋" w:hAnsi="仿宋" w:eastAsia="仿宋" w:cs="仿宋"/>
          <w:b/>
          <w:color w:val="000000"/>
          <w:sz w:val="28"/>
          <w:szCs w:val="28"/>
          <w:highlight w:val="none"/>
          <w:lang w:val="en-US" w:eastAsia="zh-CN"/>
        </w:rPr>
        <w:t>六</w:t>
      </w:r>
      <w:r>
        <w:rPr>
          <w:rFonts w:hint="eastAsia" w:ascii="仿宋" w:hAnsi="仿宋" w:eastAsia="仿宋" w:cs="仿宋"/>
          <w:b/>
          <w:color w:val="000000"/>
          <w:sz w:val="28"/>
          <w:szCs w:val="28"/>
          <w:highlight w:val="none"/>
        </w:rPr>
        <w:t>条  知识产权</w:t>
      </w:r>
    </w:p>
    <w:p w14:paraId="2DE77F30">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rPr>
        <w:t>1、乙方保证对其出售的货物享有合法的权利</w:t>
      </w:r>
      <w:r>
        <w:rPr>
          <w:rFonts w:hint="eastAsia" w:ascii="仿宋" w:hAnsi="仿宋" w:eastAsia="仿宋" w:cs="仿宋"/>
          <w:color w:val="000000"/>
          <w:sz w:val="28"/>
          <w:szCs w:val="28"/>
          <w:highlight w:val="none"/>
          <w:lang w:val="en-US" w:eastAsia="zh-CN"/>
        </w:rPr>
        <w:t>且</w:t>
      </w:r>
      <w:r>
        <w:rPr>
          <w:rFonts w:hint="eastAsia" w:ascii="仿宋" w:hAnsi="仿宋" w:eastAsia="仿宋" w:cs="仿宋"/>
          <w:color w:val="000000"/>
          <w:sz w:val="28"/>
          <w:szCs w:val="28"/>
          <w:highlight w:val="none"/>
        </w:rPr>
        <w:t>不会侵犯任何第三方的专利权、版权、商标权或其他权利。</w:t>
      </w:r>
    </w:p>
    <w:p w14:paraId="5C8EB716">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2、乙方保证对其出售的货物上不存在任何未曾向甲方透露的担保物权，如抵押权、质押权、留置权。</w:t>
      </w:r>
    </w:p>
    <w:p w14:paraId="3FDC5801">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、如甲方在使用该货物构成上述侵权的，如出现侵犯第三方专利权、版权、商标权或其他权利，乙方承担全部责任</w:t>
      </w:r>
      <w:r>
        <w:rPr>
          <w:rFonts w:hint="eastAsia" w:ascii="仿宋" w:hAnsi="仿宋" w:eastAsia="仿宋" w:cs="仿宋"/>
          <w:color w:val="000000"/>
          <w:sz w:val="28"/>
          <w:szCs w:val="28"/>
          <w:highlight w:val="none"/>
          <w:lang w:val="en-US" w:eastAsia="zh-CN"/>
        </w:rPr>
        <w:t>和</w:t>
      </w:r>
      <w:r>
        <w:rPr>
          <w:rFonts w:hint="eastAsia" w:ascii="仿宋" w:hAnsi="仿宋" w:eastAsia="仿宋" w:cs="仿宋"/>
          <w:color w:val="000000"/>
          <w:sz w:val="28"/>
          <w:szCs w:val="28"/>
          <w:highlight w:val="none"/>
        </w:rPr>
        <w:t>由此造成的一切损失，包括但不限于第三方权益补偿、甲方经济利益的减损、甲方为证实乙方之违约行为所支出的各项调查取证、公证费用，甲方为寻求救济而支付的诉讼费用、律师费用等。</w:t>
      </w:r>
    </w:p>
    <w:p w14:paraId="20C40C5F">
      <w:pPr>
        <w:keepNext w:val="0"/>
        <w:keepLines w:val="0"/>
        <w:pageBreakBefore w:val="0"/>
        <w:wordWrap/>
        <w:overflowPunct/>
        <w:topLinePunct w:val="0"/>
        <w:bidi w:val="0"/>
        <w:spacing w:beforeAutospacing="0" w:afterAutospacing="0" w:line="30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w:t>
      </w:r>
      <w:r>
        <w:rPr>
          <w:rFonts w:hint="eastAsia" w:ascii="仿宋" w:hAnsi="仿宋" w:eastAsia="仿宋" w:cs="仿宋"/>
          <w:b/>
          <w:color w:val="000000"/>
          <w:sz w:val="28"/>
          <w:szCs w:val="28"/>
          <w:highlight w:val="none"/>
          <w:lang w:val="en-US" w:eastAsia="zh-CN"/>
        </w:rPr>
        <w:t>七</w:t>
      </w:r>
      <w:r>
        <w:rPr>
          <w:rFonts w:hint="eastAsia" w:ascii="仿宋" w:hAnsi="仿宋" w:eastAsia="仿宋" w:cs="仿宋"/>
          <w:b/>
          <w:color w:val="000000"/>
          <w:sz w:val="28"/>
          <w:szCs w:val="28"/>
          <w:highlight w:val="none"/>
        </w:rPr>
        <w:t>条  甲方的权利和义务</w:t>
      </w:r>
    </w:p>
    <w:p w14:paraId="64B1707E">
      <w:pPr>
        <w:keepNext w:val="0"/>
        <w:keepLines w:val="0"/>
        <w:pageBreakBefore w:val="0"/>
        <w:wordWrap/>
        <w:overflowPunct/>
        <w:topLinePunct w:val="0"/>
        <w:bidi w:val="0"/>
        <w:spacing w:beforeAutospacing="0" w:afterAutospacing="0" w:line="300" w:lineRule="auto"/>
        <w:ind w:firstLine="42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rPr>
        <w:t>1、甲方对合同规定服务范围和内容拥有监管</w:t>
      </w:r>
      <w:r>
        <w:rPr>
          <w:rFonts w:hint="eastAsia" w:ascii="仿宋" w:hAnsi="仿宋" w:eastAsia="仿宋" w:cs="仿宋"/>
          <w:color w:val="000000"/>
          <w:sz w:val="28"/>
          <w:szCs w:val="28"/>
          <w:highlight w:val="none"/>
          <w:lang w:val="en-US" w:eastAsia="zh-CN"/>
        </w:rPr>
        <w:t>并</w:t>
      </w:r>
      <w:r>
        <w:rPr>
          <w:rFonts w:hint="eastAsia" w:ascii="仿宋" w:hAnsi="仿宋" w:eastAsia="仿宋" w:cs="仿宋"/>
          <w:color w:val="000000"/>
          <w:sz w:val="28"/>
          <w:szCs w:val="28"/>
          <w:highlight w:val="none"/>
          <w:shd w:val="clear" w:color="auto" w:fill="FFFFFF"/>
        </w:rPr>
        <w:t>有权阐述对具体问题的意见和建议</w:t>
      </w:r>
      <w:r>
        <w:rPr>
          <w:rFonts w:hint="eastAsia" w:ascii="仿宋" w:hAnsi="仿宋" w:eastAsia="仿宋" w:cs="仿宋"/>
          <w:color w:val="000000"/>
          <w:sz w:val="28"/>
          <w:szCs w:val="28"/>
          <w:highlight w:val="none"/>
        </w:rPr>
        <w:t>权，</w:t>
      </w:r>
      <w:r>
        <w:rPr>
          <w:rFonts w:hint="eastAsia" w:ascii="仿宋" w:hAnsi="仿宋" w:eastAsia="仿宋" w:cs="仿宋"/>
          <w:color w:val="000000"/>
          <w:sz w:val="28"/>
          <w:szCs w:val="28"/>
          <w:highlight w:val="none"/>
          <w:shd w:val="clear" w:color="auto" w:fill="FFFFFF"/>
        </w:rPr>
        <w:t>有权向乙方询问工作进展情况及相关的内容；</w:t>
      </w:r>
    </w:p>
    <w:p w14:paraId="1E1647D7">
      <w:pPr>
        <w:keepNext w:val="0"/>
        <w:keepLines w:val="0"/>
        <w:pageBreakBefore w:val="0"/>
        <w:wordWrap/>
        <w:overflowPunct/>
        <w:topLinePunct w:val="0"/>
        <w:bidi w:val="0"/>
        <w:spacing w:beforeAutospacing="0" w:afterAutospacing="0" w:line="300" w:lineRule="auto"/>
        <w:ind w:firstLine="42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rPr>
        <w:t>2、</w:t>
      </w:r>
      <w:r>
        <w:rPr>
          <w:rFonts w:hint="eastAsia" w:ascii="仿宋" w:hAnsi="仿宋" w:eastAsia="仿宋" w:cs="仿宋"/>
          <w:color w:val="000000"/>
          <w:sz w:val="28"/>
          <w:szCs w:val="28"/>
          <w:highlight w:val="none"/>
        </w:rPr>
        <w:t>甲方</w:t>
      </w:r>
      <w:r>
        <w:rPr>
          <w:rFonts w:hint="eastAsia" w:ascii="仿宋" w:hAnsi="仿宋" w:eastAsia="仿宋" w:cs="仿宋"/>
          <w:color w:val="000000"/>
          <w:sz w:val="28"/>
          <w:szCs w:val="28"/>
          <w:highlight w:val="none"/>
          <w:shd w:val="clear" w:color="auto" w:fill="FFFFFF"/>
        </w:rPr>
        <w:t>有权</w:t>
      </w:r>
      <w:r>
        <w:rPr>
          <w:rFonts w:hint="eastAsia" w:ascii="仿宋" w:hAnsi="仿宋" w:eastAsia="仿宋" w:cs="仿宋"/>
          <w:color w:val="000000"/>
          <w:sz w:val="28"/>
          <w:szCs w:val="28"/>
          <w:highlight w:val="none"/>
        </w:rPr>
        <w:t>对认为不合理的部分有权下达整改通知书，并要求乙方限期整改；</w:t>
      </w:r>
    </w:p>
    <w:p w14:paraId="560460D1">
      <w:pPr>
        <w:keepNext w:val="0"/>
        <w:keepLines w:val="0"/>
        <w:pageBreakBefore w:val="0"/>
        <w:wordWrap/>
        <w:overflowPunct/>
        <w:topLinePunct w:val="0"/>
        <w:bidi w:val="0"/>
        <w:spacing w:beforeAutospacing="0" w:afterAutospacing="0" w:line="300" w:lineRule="auto"/>
        <w:ind w:firstLine="560" w:firstLineChars="20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lang w:val="en-US" w:eastAsia="zh-CN"/>
        </w:rPr>
        <w:t>3</w:t>
      </w:r>
      <w:r>
        <w:rPr>
          <w:rFonts w:hint="eastAsia" w:ascii="仿宋" w:hAnsi="仿宋" w:eastAsia="仿宋" w:cs="仿宋"/>
          <w:color w:val="000000"/>
          <w:sz w:val="28"/>
          <w:szCs w:val="28"/>
          <w:highlight w:val="none"/>
          <w:shd w:val="clear" w:color="auto" w:fill="FFFFFF"/>
        </w:rPr>
        <w:t>、甲方有权根据项目的具体情况，要求乙方按期到项目现场协调解决问题；</w:t>
      </w:r>
    </w:p>
    <w:p w14:paraId="1748677F">
      <w:pPr>
        <w:pStyle w:val="6"/>
        <w:keepNext w:val="0"/>
        <w:keepLines w:val="0"/>
        <w:pageBreakBefore w:val="0"/>
        <w:shd w:val="clear" w:color="auto" w:fill="FFFFFF"/>
        <w:wordWrap/>
        <w:overflowPunct/>
        <w:topLinePunct w:val="0"/>
        <w:bidi w:val="0"/>
        <w:spacing w:before="0" w:beforeAutospacing="0" w:after="0" w:afterAutospacing="0" w:line="30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、根据本合同规定，按时向乙方支付应付服务费用。</w:t>
      </w:r>
    </w:p>
    <w:p w14:paraId="7F0655A0">
      <w:pPr>
        <w:pStyle w:val="6"/>
        <w:keepNext w:val="0"/>
        <w:keepLines w:val="0"/>
        <w:pageBreakBefore w:val="0"/>
        <w:shd w:val="clear" w:color="auto" w:fill="FFFFFF"/>
        <w:wordWrap/>
        <w:overflowPunct/>
        <w:topLinePunct w:val="0"/>
        <w:bidi w:val="0"/>
        <w:spacing w:before="0" w:beforeAutospacing="0" w:after="0" w:afterAutospacing="0" w:line="30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5</w:t>
      </w:r>
      <w:r>
        <w:rPr>
          <w:rFonts w:hint="eastAsia" w:ascii="仿宋" w:hAnsi="仿宋" w:eastAsia="仿宋" w:cs="仿宋"/>
          <w:color w:val="000000"/>
          <w:sz w:val="28"/>
          <w:szCs w:val="28"/>
          <w:highlight w:val="none"/>
        </w:rPr>
        <w:t>、国家</w:t>
      </w:r>
      <w:r>
        <w:rPr>
          <w:rFonts w:hint="eastAsia" w:ascii="仿宋" w:hAnsi="仿宋" w:eastAsia="仿宋" w:cs="仿宋"/>
          <w:color w:val="000000"/>
          <w:sz w:val="28"/>
          <w:szCs w:val="28"/>
          <w:highlight w:val="none"/>
          <w:lang w:eastAsia="zh-CN"/>
        </w:rPr>
        <w:t>法律法规</w:t>
      </w:r>
      <w:r>
        <w:rPr>
          <w:rFonts w:hint="eastAsia" w:ascii="仿宋" w:hAnsi="仿宋" w:eastAsia="仿宋" w:cs="仿宋"/>
          <w:color w:val="000000"/>
          <w:sz w:val="28"/>
          <w:szCs w:val="28"/>
          <w:highlight w:val="none"/>
        </w:rPr>
        <w:t>所规定由甲方承担的</w:t>
      </w:r>
      <w:r>
        <w:rPr>
          <w:rFonts w:hint="eastAsia" w:ascii="仿宋" w:hAnsi="仿宋" w:eastAsia="仿宋" w:cs="仿宋"/>
          <w:color w:val="000000"/>
          <w:sz w:val="28"/>
          <w:szCs w:val="28"/>
          <w:highlight w:val="none"/>
          <w:lang w:eastAsia="zh-CN"/>
        </w:rPr>
        <w:t>其他</w:t>
      </w:r>
      <w:r>
        <w:rPr>
          <w:rFonts w:hint="eastAsia" w:ascii="仿宋" w:hAnsi="仿宋" w:eastAsia="仿宋" w:cs="仿宋"/>
          <w:color w:val="000000"/>
          <w:sz w:val="28"/>
          <w:szCs w:val="28"/>
          <w:highlight w:val="none"/>
        </w:rPr>
        <w:t>责任。</w:t>
      </w:r>
    </w:p>
    <w:p w14:paraId="7124F4DE">
      <w:pPr>
        <w:keepNext w:val="0"/>
        <w:keepLines w:val="0"/>
        <w:pageBreakBefore w:val="0"/>
        <w:wordWrap/>
        <w:overflowPunct/>
        <w:topLinePunct w:val="0"/>
        <w:bidi w:val="0"/>
        <w:spacing w:beforeAutospacing="0" w:afterAutospacing="0" w:line="30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w:t>
      </w:r>
      <w:r>
        <w:rPr>
          <w:rFonts w:hint="eastAsia" w:ascii="仿宋" w:hAnsi="仿宋" w:eastAsia="仿宋" w:cs="仿宋"/>
          <w:b/>
          <w:color w:val="000000"/>
          <w:sz w:val="28"/>
          <w:szCs w:val="28"/>
          <w:highlight w:val="none"/>
          <w:lang w:val="en-US" w:eastAsia="zh-CN"/>
        </w:rPr>
        <w:t>八</w:t>
      </w:r>
      <w:r>
        <w:rPr>
          <w:rFonts w:hint="eastAsia" w:ascii="仿宋" w:hAnsi="仿宋" w:eastAsia="仿宋" w:cs="仿宋"/>
          <w:b/>
          <w:color w:val="000000"/>
          <w:sz w:val="28"/>
          <w:szCs w:val="28"/>
          <w:highlight w:val="none"/>
        </w:rPr>
        <w:t>条  乙方的权利和义务</w:t>
      </w:r>
    </w:p>
    <w:p w14:paraId="2FF694B2">
      <w:pPr>
        <w:keepNext w:val="0"/>
        <w:keepLines w:val="0"/>
        <w:pageBreakBefore w:val="0"/>
        <w:wordWrap/>
        <w:overflowPunct/>
        <w:topLinePunct w:val="0"/>
        <w:bidi w:val="0"/>
        <w:spacing w:beforeAutospacing="0" w:afterAutospacing="0" w:line="300" w:lineRule="auto"/>
        <w:ind w:firstLine="560" w:firstLineChars="20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rPr>
        <w:t>1、</w:t>
      </w:r>
      <w:r>
        <w:rPr>
          <w:rFonts w:hint="eastAsia" w:ascii="仿宋" w:hAnsi="仿宋" w:eastAsia="仿宋" w:cs="仿宋"/>
          <w:color w:val="000000"/>
          <w:sz w:val="28"/>
          <w:szCs w:val="28"/>
          <w:highlight w:val="none"/>
          <w:shd w:val="clear" w:color="auto" w:fill="FFFFFF"/>
          <w:lang w:val="en-US" w:eastAsia="zh-CN"/>
        </w:rPr>
        <w:t>乙方</w:t>
      </w:r>
      <w:r>
        <w:rPr>
          <w:rFonts w:hint="eastAsia" w:ascii="仿宋" w:hAnsi="仿宋" w:eastAsia="仿宋" w:cs="仿宋"/>
          <w:color w:val="000000"/>
          <w:sz w:val="28"/>
          <w:szCs w:val="28"/>
          <w:highlight w:val="none"/>
          <w:shd w:val="clear" w:color="auto" w:fill="FFFFFF"/>
        </w:rPr>
        <w:t>按要求</w:t>
      </w:r>
      <w:r>
        <w:rPr>
          <w:rFonts w:hint="eastAsia" w:ascii="仿宋" w:hAnsi="仿宋" w:eastAsia="仿宋" w:cs="仿宋"/>
          <w:color w:val="000000"/>
          <w:sz w:val="28"/>
          <w:szCs w:val="28"/>
          <w:highlight w:val="none"/>
          <w:shd w:val="clear" w:color="auto" w:fill="FFFFFF"/>
          <w:lang w:val="en-US" w:eastAsia="zh-CN"/>
        </w:rPr>
        <w:t>提供合格食材及配送服务，乙方</w:t>
      </w:r>
      <w:r>
        <w:rPr>
          <w:rFonts w:hint="eastAsia" w:ascii="仿宋" w:hAnsi="仿宋" w:eastAsia="仿宋" w:cs="仿宋"/>
          <w:color w:val="000000"/>
          <w:sz w:val="28"/>
          <w:szCs w:val="28"/>
          <w:highlight w:val="none"/>
          <w:shd w:val="clear" w:color="auto" w:fill="FFFFFF"/>
        </w:rPr>
        <w:t>人员</w:t>
      </w:r>
      <w:r>
        <w:rPr>
          <w:rFonts w:hint="eastAsia" w:ascii="仿宋" w:hAnsi="仿宋" w:eastAsia="仿宋" w:cs="仿宋"/>
          <w:color w:val="000000"/>
          <w:sz w:val="28"/>
          <w:szCs w:val="28"/>
          <w:highlight w:val="none"/>
          <w:shd w:val="clear" w:color="auto" w:fill="FFFFFF"/>
          <w:lang w:val="en-US" w:eastAsia="zh-CN"/>
        </w:rPr>
        <w:t>在</w:t>
      </w:r>
      <w:r>
        <w:rPr>
          <w:rFonts w:hint="eastAsia" w:ascii="仿宋" w:hAnsi="仿宋" w:eastAsia="仿宋" w:cs="仿宋"/>
          <w:color w:val="000000"/>
          <w:sz w:val="28"/>
          <w:szCs w:val="28"/>
          <w:highlight w:val="none"/>
          <w:shd w:val="clear" w:color="auto" w:fill="FFFFFF"/>
        </w:rPr>
        <w:t>任务执行</w:t>
      </w:r>
      <w:r>
        <w:rPr>
          <w:rFonts w:hint="eastAsia" w:ascii="仿宋" w:hAnsi="仿宋" w:eastAsia="仿宋" w:cs="仿宋"/>
          <w:color w:val="000000"/>
          <w:sz w:val="28"/>
          <w:szCs w:val="28"/>
          <w:highlight w:val="none"/>
          <w:shd w:val="clear" w:color="auto" w:fill="FFFFFF"/>
          <w:lang w:val="en-US" w:eastAsia="zh-CN"/>
        </w:rPr>
        <w:t>过程中</w:t>
      </w:r>
      <w:r>
        <w:rPr>
          <w:rFonts w:hint="eastAsia" w:ascii="仿宋" w:hAnsi="仿宋" w:eastAsia="仿宋" w:cs="仿宋"/>
          <w:color w:val="000000"/>
          <w:sz w:val="28"/>
          <w:szCs w:val="28"/>
          <w:highlight w:val="none"/>
          <w:shd w:val="clear" w:color="auto" w:fill="FFFFFF"/>
        </w:rPr>
        <w:t>遵守甲方制定的各项规章制度。</w:t>
      </w:r>
    </w:p>
    <w:p w14:paraId="741DD271">
      <w:pPr>
        <w:keepNext w:val="0"/>
        <w:keepLines w:val="0"/>
        <w:pageBreakBefore w:val="0"/>
        <w:wordWrap/>
        <w:overflowPunct/>
        <w:topLinePunct w:val="0"/>
        <w:bidi w:val="0"/>
        <w:spacing w:beforeAutospacing="0" w:afterAutospacing="0" w:line="300" w:lineRule="auto"/>
        <w:ind w:firstLine="560" w:firstLineChars="20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lang w:val="en-US" w:eastAsia="zh-CN"/>
        </w:rPr>
        <w:t>2</w:t>
      </w:r>
      <w:r>
        <w:rPr>
          <w:rFonts w:hint="eastAsia" w:ascii="仿宋" w:hAnsi="仿宋" w:eastAsia="仿宋" w:cs="仿宋"/>
          <w:color w:val="000000"/>
          <w:sz w:val="28"/>
          <w:szCs w:val="28"/>
          <w:highlight w:val="none"/>
          <w:shd w:val="clear" w:color="auto" w:fill="FFFFFF"/>
        </w:rPr>
        <w:t>、乙方定期征求甲方的意见，以便及时沟通并做好服务工作。</w:t>
      </w:r>
    </w:p>
    <w:p w14:paraId="42AD03F3">
      <w:pPr>
        <w:keepNext w:val="0"/>
        <w:keepLines w:val="0"/>
        <w:pageBreakBefore w:val="0"/>
        <w:wordWrap/>
        <w:overflowPunct/>
        <w:topLinePunct w:val="0"/>
        <w:bidi w:val="0"/>
        <w:spacing w:beforeAutospacing="0" w:afterAutospacing="0" w:line="300" w:lineRule="auto"/>
        <w:ind w:firstLine="560" w:firstLineChars="200"/>
        <w:rPr>
          <w:rFonts w:hint="eastAsia" w:ascii="仿宋" w:hAnsi="仿宋" w:eastAsia="仿宋" w:cs="仿宋"/>
          <w:color w:val="000000"/>
          <w:sz w:val="28"/>
          <w:szCs w:val="28"/>
          <w:highlight w:val="none"/>
          <w:shd w:val="clear" w:color="auto" w:fill="FFFFFF"/>
          <w:lang w:eastAsia="zh-CN"/>
        </w:rPr>
      </w:pPr>
      <w:r>
        <w:rPr>
          <w:rFonts w:hint="eastAsia" w:ascii="仿宋" w:hAnsi="仿宋" w:eastAsia="仿宋" w:cs="仿宋"/>
          <w:color w:val="000000"/>
          <w:sz w:val="28"/>
          <w:szCs w:val="28"/>
          <w:highlight w:val="none"/>
          <w:shd w:val="clear" w:color="auto" w:fill="FFFFFF"/>
          <w:lang w:val="en-US" w:eastAsia="zh-CN"/>
        </w:rPr>
        <w:t>3</w:t>
      </w:r>
      <w:r>
        <w:rPr>
          <w:rFonts w:hint="eastAsia" w:ascii="仿宋" w:hAnsi="仿宋" w:eastAsia="仿宋" w:cs="仿宋"/>
          <w:color w:val="000000"/>
          <w:sz w:val="28"/>
          <w:szCs w:val="28"/>
          <w:highlight w:val="none"/>
          <w:shd w:val="clear" w:color="auto" w:fill="FFFFFF"/>
        </w:rPr>
        <w:t>、乙方人员因工作失职或疏忽直接造成损失，由乙方处理并承担相关责任。</w:t>
      </w:r>
    </w:p>
    <w:p w14:paraId="2E88ADF9">
      <w:pPr>
        <w:keepNext w:val="0"/>
        <w:keepLines w:val="0"/>
        <w:pageBreakBefore w:val="0"/>
        <w:wordWrap/>
        <w:overflowPunct/>
        <w:topLinePunct w:val="0"/>
        <w:bidi w:val="0"/>
        <w:spacing w:beforeAutospacing="0" w:afterAutospacing="0" w:line="300" w:lineRule="auto"/>
        <w:ind w:firstLine="560" w:firstLineChars="20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lang w:val="en-US" w:eastAsia="zh-CN"/>
        </w:rPr>
        <w:t>4</w:t>
      </w:r>
      <w:r>
        <w:rPr>
          <w:rFonts w:hint="eastAsia" w:ascii="仿宋" w:hAnsi="仿宋" w:eastAsia="仿宋" w:cs="仿宋"/>
          <w:color w:val="000000"/>
          <w:sz w:val="28"/>
          <w:szCs w:val="28"/>
          <w:highlight w:val="none"/>
          <w:shd w:val="clear" w:color="auto" w:fill="FFFFFF"/>
        </w:rPr>
        <w:t>、乙方不得以任何借口拖延</w:t>
      </w:r>
      <w:r>
        <w:rPr>
          <w:rFonts w:hint="eastAsia" w:ascii="仿宋" w:hAnsi="仿宋" w:eastAsia="仿宋" w:cs="仿宋"/>
          <w:color w:val="000000"/>
          <w:sz w:val="28"/>
          <w:szCs w:val="28"/>
          <w:highlight w:val="none"/>
          <w:shd w:val="clear" w:color="auto" w:fill="FFFFFF"/>
          <w:lang w:val="en-US" w:eastAsia="zh-CN"/>
        </w:rPr>
        <w:t>食材的采购、检测、配送、验收</w:t>
      </w:r>
      <w:r>
        <w:rPr>
          <w:rFonts w:hint="eastAsia" w:ascii="仿宋" w:hAnsi="仿宋" w:eastAsia="仿宋" w:cs="仿宋"/>
          <w:color w:val="000000"/>
          <w:sz w:val="28"/>
          <w:szCs w:val="28"/>
          <w:highlight w:val="none"/>
          <w:shd w:val="clear" w:color="auto" w:fill="FFFFFF"/>
        </w:rPr>
        <w:t>等相关服务</w:t>
      </w:r>
      <w:r>
        <w:rPr>
          <w:rFonts w:hint="eastAsia" w:ascii="仿宋" w:hAnsi="仿宋" w:eastAsia="仿宋" w:cs="仿宋"/>
          <w:color w:val="000000"/>
          <w:sz w:val="28"/>
          <w:szCs w:val="28"/>
          <w:highlight w:val="none"/>
          <w:shd w:val="clear" w:color="auto" w:fill="FFFFFF"/>
          <w:lang w:eastAsia="zh-CN"/>
        </w:rPr>
        <w:t>。</w:t>
      </w:r>
    </w:p>
    <w:p w14:paraId="599A53E5">
      <w:pPr>
        <w:keepNext w:val="0"/>
        <w:keepLines w:val="0"/>
        <w:pageBreakBefore w:val="0"/>
        <w:wordWrap/>
        <w:overflowPunct/>
        <w:topLinePunct w:val="0"/>
        <w:bidi w:val="0"/>
        <w:spacing w:beforeAutospacing="0" w:afterAutospacing="0" w:line="300" w:lineRule="auto"/>
        <w:ind w:firstLine="560" w:firstLineChars="20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lang w:val="en-US" w:eastAsia="zh-CN"/>
        </w:rPr>
        <w:t>5</w:t>
      </w:r>
      <w:r>
        <w:rPr>
          <w:rFonts w:hint="eastAsia" w:ascii="仿宋" w:hAnsi="仿宋" w:eastAsia="仿宋" w:cs="仿宋"/>
          <w:color w:val="000000"/>
          <w:sz w:val="28"/>
          <w:szCs w:val="28"/>
          <w:highlight w:val="none"/>
          <w:shd w:val="clear" w:color="auto" w:fill="FFFFFF"/>
        </w:rPr>
        <w:t>、及时向甲方通告本项目服务范围内有关的重大事项</w:t>
      </w:r>
      <w:r>
        <w:rPr>
          <w:rFonts w:hint="eastAsia" w:ascii="仿宋" w:hAnsi="仿宋" w:eastAsia="仿宋" w:cs="仿宋"/>
          <w:color w:val="000000"/>
          <w:sz w:val="28"/>
          <w:szCs w:val="28"/>
          <w:highlight w:val="none"/>
          <w:shd w:val="clear" w:color="auto" w:fill="FFFFFF"/>
          <w:lang w:val="en-US" w:eastAsia="zh-CN"/>
        </w:rPr>
        <w:t>并</w:t>
      </w:r>
      <w:r>
        <w:rPr>
          <w:rFonts w:hint="eastAsia" w:ascii="仿宋" w:hAnsi="仿宋" w:eastAsia="仿宋" w:cs="仿宋"/>
          <w:color w:val="000000"/>
          <w:sz w:val="28"/>
          <w:szCs w:val="28"/>
          <w:highlight w:val="none"/>
          <w:shd w:val="clear" w:color="auto" w:fill="FFFFFF"/>
        </w:rPr>
        <w:t>及时配合处理</w:t>
      </w:r>
      <w:r>
        <w:rPr>
          <w:rFonts w:hint="eastAsia" w:ascii="仿宋" w:hAnsi="仿宋" w:eastAsia="仿宋" w:cs="仿宋"/>
          <w:color w:val="000000"/>
          <w:sz w:val="28"/>
          <w:szCs w:val="28"/>
          <w:highlight w:val="none"/>
          <w:shd w:val="clear" w:color="auto" w:fill="FFFFFF"/>
          <w:lang w:val="en-US" w:eastAsia="zh-CN"/>
        </w:rPr>
        <w:t>相关内容</w:t>
      </w:r>
      <w:r>
        <w:rPr>
          <w:rFonts w:hint="eastAsia" w:ascii="仿宋" w:hAnsi="仿宋" w:eastAsia="仿宋" w:cs="仿宋"/>
          <w:color w:val="000000"/>
          <w:sz w:val="28"/>
          <w:szCs w:val="28"/>
          <w:highlight w:val="none"/>
          <w:shd w:val="clear" w:color="auto" w:fill="FFFFFF"/>
        </w:rPr>
        <w:t>。</w:t>
      </w:r>
    </w:p>
    <w:p w14:paraId="5C4A3F75">
      <w:pPr>
        <w:keepNext w:val="0"/>
        <w:keepLines w:val="0"/>
        <w:pageBreakBefore w:val="0"/>
        <w:wordWrap/>
        <w:overflowPunct/>
        <w:topLinePunct w:val="0"/>
        <w:bidi w:val="0"/>
        <w:spacing w:beforeAutospacing="0" w:afterAutospacing="0" w:line="30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shd w:val="clear" w:color="auto" w:fill="FFFFFF"/>
          <w:lang w:val="en-US" w:eastAsia="zh-CN"/>
        </w:rPr>
        <w:t>6</w:t>
      </w:r>
      <w:r>
        <w:rPr>
          <w:rFonts w:hint="eastAsia" w:ascii="仿宋" w:hAnsi="仿宋" w:eastAsia="仿宋" w:cs="仿宋"/>
          <w:color w:val="000000"/>
          <w:sz w:val="28"/>
          <w:szCs w:val="28"/>
          <w:highlight w:val="none"/>
          <w:shd w:val="clear" w:color="auto" w:fill="FFFFFF"/>
        </w:rPr>
        <w:t>、根据本合同的规定向甲方收取相关服务费用。</w:t>
      </w:r>
    </w:p>
    <w:p w14:paraId="53B53962">
      <w:pPr>
        <w:keepNext w:val="0"/>
        <w:keepLines w:val="0"/>
        <w:pageBreakBefore w:val="0"/>
        <w:wordWrap/>
        <w:overflowPunct/>
        <w:topLinePunct w:val="0"/>
        <w:bidi w:val="0"/>
        <w:spacing w:beforeAutospacing="0" w:afterAutospacing="0" w:line="300" w:lineRule="auto"/>
        <w:ind w:firstLine="560" w:firstLineChars="20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lang w:val="en-US" w:eastAsia="zh-CN"/>
        </w:rPr>
        <w:t>7</w:t>
      </w:r>
      <w:r>
        <w:rPr>
          <w:rFonts w:hint="eastAsia" w:ascii="仿宋" w:hAnsi="仿宋" w:eastAsia="仿宋" w:cs="仿宋"/>
          <w:color w:val="000000"/>
          <w:sz w:val="28"/>
          <w:szCs w:val="28"/>
          <w:highlight w:val="none"/>
          <w:shd w:val="clear" w:color="auto" w:fill="FFFFFF"/>
        </w:rPr>
        <w:t>、接受项目行业管理部门及政府有关部门的指导，接受甲方的监督。</w:t>
      </w:r>
    </w:p>
    <w:p w14:paraId="3DF4ED5A">
      <w:pPr>
        <w:keepNext w:val="0"/>
        <w:keepLines w:val="0"/>
        <w:pageBreakBefore w:val="0"/>
        <w:wordWrap/>
        <w:overflowPunct/>
        <w:topLinePunct w:val="0"/>
        <w:bidi w:val="0"/>
        <w:spacing w:beforeAutospacing="0" w:afterAutospacing="0" w:line="300" w:lineRule="auto"/>
        <w:ind w:firstLine="560" w:firstLineChars="200"/>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lang w:val="en-US" w:eastAsia="zh-CN"/>
        </w:rPr>
        <w:t>8</w:t>
      </w:r>
      <w:r>
        <w:rPr>
          <w:rFonts w:hint="eastAsia" w:ascii="仿宋" w:hAnsi="仿宋" w:eastAsia="仿宋" w:cs="仿宋"/>
          <w:color w:val="000000"/>
          <w:sz w:val="28"/>
          <w:szCs w:val="28"/>
          <w:highlight w:val="none"/>
          <w:shd w:val="clear" w:color="auto" w:fill="FFFFFF"/>
        </w:rPr>
        <w:t>、国家</w:t>
      </w:r>
      <w:r>
        <w:rPr>
          <w:rFonts w:hint="eastAsia" w:ascii="仿宋" w:hAnsi="仿宋" w:eastAsia="仿宋" w:cs="仿宋"/>
          <w:color w:val="000000"/>
          <w:sz w:val="28"/>
          <w:szCs w:val="28"/>
          <w:highlight w:val="none"/>
          <w:shd w:val="clear" w:color="auto" w:fill="FFFFFF"/>
          <w:lang w:eastAsia="zh-CN"/>
        </w:rPr>
        <w:t>法律法规</w:t>
      </w:r>
      <w:r>
        <w:rPr>
          <w:rFonts w:hint="eastAsia" w:ascii="仿宋" w:hAnsi="仿宋" w:eastAsia="仿宋" w:cs="仿宋"/>
          <w:color w:val="000000"/>
          <w:sz w:val="28"/>
          <w:szCs w:val="28"/>
          <w:highlight w:val="none"/>
          <w:shd w:val="clear" w:color="auto" w:fill="FFFFFF"/>
        </w:rPr>
        <w:t>所规定由乙方承担的</w:t>
      </w:r>
      <w:r>
        <w:rPr>
          <w:rFonts w:hint="eastAsia" w:ascii="仿宋" w:hAnsi="仿宋" w:eastAsia="仿宋" w:cs="仿宋"/>
          <w:color w:val="000000"/>
          <w:sz w:val="28"/>
          <w:szCs w:val="28"/>
          <w:highlight w:val="none"/>
          <w:shd w:val="clear" w:color="auto" w:fill="FFFFFF"/>
          <w:lang w:eastAsia="zh-CN"/>
        </w:rPr>
        <w:t>其他</w:t>
      </w:r>
      <w:r>
        <w:rPr>
          <w:rFonts w:hint="eastAsia" w:ascii="仿宋" w:hAnsi="仿宋" w:eastAsia="仿宋" w:cs="仿宋"/>
          <w:color w:val="000000"/>
          <w:sz w:val="28"/>
          <w:szCs w:val="28"/>
          <w:highlight w:val="none"/>
          <w:shd w:val="clear" w:color="auto" w:fill="FFFFFF"/>
        </w:rPr>
        <w:t>责任。</w:t>
      </w:r>
    </w:p>
    <w:p w14:paraId="18F7CFA3">
      <w:pPr>
        <w:keepNext w:val="0"/>
        <w:keepLines w:val="0"/>
        <w:pageBreakBefore w:val="0"/>
        <w:widowControl w:val="0"/>
        <w:kinsoku/>
        <w:wordWrap/>
        <w:overflowPunct/>
        <w:topLinePunct w:val="0"/>
        <w:autoSpaceDE/>
        <w:autoSpaceDN/>
        <w:bidi w:val="0"/>
        <w:spacing w:beforeAutospacing="0" w:afterAutospacing="0" w:line="300" w:lineRule="auto"/>
        <w:textAlignment w:val="auto"/>
        <w:rPr>
          <w:rFonts w:hint="eastAsia" w:ascii="仿宋" w:hAnsi="仿宋" w:eastAsia="仿宋" w:cs="仿宋"/>
          <w:b/>
          <w:bCs/>
          <w:color w:val="000000"/>
          <w:sz w:val="28"/>
          <w:szCs w:val="28"/>
          <w:highlight w:val="none"/>
          <w:shd w:val="clear" w:color="auto" w:fill="FFFFFF"/>
        </w:rPr>
      </w:pPr>
      <w:r>
        <w:rPr>
          <w:rFonts w:hint="eastAsia" w:ascii="仿宋" w:hAnsi="仿宋" w:eastAsia="仿宋" w:cs="仿宋"/>
          <w:b/>
          <w:bCs/>
          <w:color w:val="000000"/>
          <w:sz w:val="28"/>
          <w:szCs w:val="28"/>
          <w:highlight w:val="none"/>
          <w:shd w:val="clear" w:color="auto" w:fill="FFFFFF"/>
        </w:rPr>
        <w:t>第</w:t>
      </w:r>
      <w:r>
        <w:rPr>
          <w:rFonts w:hint="eastAsia" w:ascii="仿宋" w:hAnsi="仿宋" w:eastAsia="仿宋" w:cs="仿宋"/>
          <w:b/>
          <w:bCs/>
          <w:color w:val="000000"/>
          <w:sz w:val="28"/>
          <w:szCs w:val="28"/>
          <w:highlight w:val="none"/>
          <w:shd w:val="clear" w:color="auto" w:fill="FFFFFF"/>
          <w:lang w:val="en-US" w:eastAsia="zh-CN"/>
        </w:rPr>
        <w:t>九</w:t>
      </w:r>
      <w:r>
        <w:rPr>
          <w:rFonts w:hint="eastAsia" w:ascii="仿宋" w:hAnsi="仿宋" w:eastAsia="仿宋" w:cs="仿宋"/>
          <w:b/>
          <w:bCs/>
          <w:color w:val="000000"/>
          <w:sz w:val="28"/>
          <w:szCs w:val="28"/>
          <w:highlight w:val="none"/>
          <w:shd w:val="clear" w:color="auto" w:fill="FFFFFF"/>
        </w:rPr>
        <w:t>条 考核（验收）标准和方法</w:t>
      </w:r>
    </w:p>
    <w:p w14:paraId="605CBC59">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现行的国家标准或国家行政部门颁布的法律法规、规章制度等，是验收的重要依据，甲方根据有关规范、规定及项目要求对乙方进行检查或考核，乙方须接受甲方对相关服务的各类考核或检查；若服务结果验收不通过或质量不符合采购要求，乙方应在一定期限内以甲方要求的标准进行整改或完善，并再次进行考核或检查，若乙方在接受检查整改后最终仍未按要求提供符合要求的服务，甲方有权按违约予以撤项，由此产生的一切责任和费用均由乙方承担</w:t>
      </w:r>
      <w:r>
        <w:rPr>
          <w:rFonts w:hint="eastAsia" w:ascii="仿宋" w:hAnsi="仿宋" w:eastAsia="仿宋" w:cs="仿宋"/>
          <w:color w:val="000000"/>
          <w:sz w:val="28"/>
          <w:szCs w:val="28"/>
          <w:highlight w:val="none"/>
          <w:lang w:val="en-US" w:eastAsia="zh-CN"/>
        </w:rPr>
        <w:t>：</w:t>
      </w:r>
    </w:p>
    <w:p w14:paraId="21E8EB7D">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1）肉类必须保证提供为当日生产产品，肉身必须盖有卫生检疫章，同时出具加盖政府机构动物卫生监督所鲜章的动物检疫合格证明，畜肉品须色泽鲜亮、无任何异味、无毛、按压无注水，纹理清晰，肉质细腻，品质好；服务方在项目成交后,供货前须向采购人提供所投肉类产品的《动物防疫条件合格证》。 </w:t>
      </w:r>
    </w:p>
    <w:p w14:paraId="55801691">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（2）禽类制品须肉面干净、无任何异味、无注水、无羽毛、表皮无疤痕，大小匀称、肉质紧致，码放整齐。 </w:t>
      </w:r>
    </w:p>
    <w:p w14:paraId="4BDA161E">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3）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 </w:t>
      </w:r>
    </w:p>
    <w:p w14:paraId="5033466C">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（4）蛋类须新鲜，不超过三日以上产品，大小均匀，外壳无破裂，光洁饱满的产品，周转箱堆放 ，服务方在项目成交后,供货前须向采购人提供所投蛋类产品的《动物防疫条件合格证》。 </w:t>
      </w:r>
    </w:p>
    <w:p w14:paraId="56435097">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（5）豆制类须保证食材干净、不含非食品用化学物质、按统一标准加工、码放整齐、无需二次处理可以直接进行熟加工。 </w:t>
      </w:r>
    </w:p>
    <w:p w14:paraId="78C8348D">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（6）水果类须保证新鲜 ，无农药，无异味，无挤压、虫眼、过熟或欠熟，大小重量匀称等，表面无疤痕，果体光洁饱满。 </w:t>
      </w:r>
    </w:p>
    <w:p w14:paraId="2E82995C">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（7）水产品类须保证鲜活、大小基本统一，水产类净菜须保证处理干净。 </w:t>
      </w:r>
    </w:p>
    <w:p w14:paraId="454C7E1F">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8）冻品及乳制品外包装需完整，无破损，无不封口现象，有生产日期。干货类须保证配送种类、品牌、规格，质量完全符合招标方要求，生产日期须在保质期二分之一天之内，包装完整、无任何破损、无挤压、无破碎、无异味、无任何表面附着物或衍生物。 </w:t>
      </w:r>
    </w:p>
    <w:p w14:paraId="68FC4317">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（9）调料类须保证色泽正常，具有该品种固有的香味，滋味无异味，油酱均匀的酱体或无结块的粉状固体，封口平整，无破包，夹包，漏包，无污染。 </w:t>
      </w:r>
    </w:p>
    <w:p w14:paraId="27B1BCA7">
      <w:pPr>
        <w:pStyle w:val="4"/>
        <w:keepNext w:val="0"/>
        <w:keepLines w:val="0"/>
        <w:pageBreakBefore w:val="0"/>
        <w:widowControl w:val="0"/>
        <w:kinsoku/>
        <w:wordWrap/>
        <w:overflowPunct/>
        <w:topLinePunct w:val="0"/>
        <w:autoSpaceDE/>
        <w:autoSpaceDN/>
        <w:bidi w:val="0"/>
        <w:spacing w:after="0" w:line="300" w:lineRule="auto"/>
        <w:ind w:firstLine="560" w:firstLineChars="20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10）其他须保证食材干净、不含非食品用化学物质、按统一标准加工、码放整齐、无需二次处理可以直接进行熟加工。牛奶，小食品，须保证规格品种完全符合采购人要求，大小包装规格齐全、生产日期须在保质期二分之一天之内，凭出厂合格证与检验员章确认质量。</w:t>
      </w:r>
    </w:p>
    <w:p w14:paraId="41B8AA96">
      <w:pPr>
        <w:keepNext w:val="0"/>
        <w:keepLines w:val="0"/>
        <w:pageBreakBefore w:val="0"/>
        <w:widowControl w:val="0"/>
        <w:kinsoku/>
        <w:wordWrap/>
        <w:overflowPunct/>
        <w:topLinePunct w:val="0"/>
        <w:autoSpaceDE/>
        <w:autoSpaceDN/>
        <w:bidi w:val="0"/>
        <w:spacing w:beforeAutospacing="0" w:afterAutospacing="0" w:line="300" w:lineRule="auto"/>
        <w:ind w:firstLine="560" w:firstLineChars="200"/>
        <w:textAlignment w:val="auto"/>
        <w:rPr>
          <w:rFonts w:hint="eastAsia" w:ascii="仿宋" w:hAnsi="仿宋" w:eastAsia="仿宋" w:cs="仿宋"/>
          <w:color w:val="000000"/>
          <w:sz w:val="28"/>
          <w:szCs w:val="28"/>
          <w:highlight w:val="none"/>
          <w:shd w:val="clear" w:color="auto" w:fill="FFFFFF"/>
          <w:lang w:eastAsia="zh-CN"/>
        </w:rPr>
      </w:pPr>
      <w:r>
        <w:rPr>
          <w:rFonts w:hint="eastAsia" w:ascii="仿宋" w:hAnsi="仿宋" w:eastAsia="仿宋" w:cs="仿宋"/>
          <w:color w:val="000000"/>
          <w:sz w:val="28"/>
          <w:szCs w:val="28"/>
          <w:highlight w:val="none"/>
          <w:shd w:val="clear" w:color="auto" w:fill="FFFFFF"/>
          <w:lang w:eastAsia="zh-CN"/>
        </w:rPr>
        <w:t>（</w:t>
      </w:r>
      <w:r>
        <w:rPr>
          <w:rFonts w:hint="eastAsia" w:ascii="仿宋" w:hAnsi="仿宋" w:eastAsia="仿宋" w:cs="仿宋"/>
          <w:color w:val="000000"/>
          <w:sz w:val="28"/>
          <w:szCs w:val="28"/>
          <w:highlight w:val="none"/>
          <w:shd w:val="clear" w:color="auto" w:fill="FFFFFF"/>
          <w:lang w:val="en-US" w:eastAsia="zh-CN"/>
        </w:rPr>
        <w:t>11</w:t>
      </w:r>
      <w:r>
        <w:rPr>
          <w:rFonts w:hint="eastAsia" w:ascii="仿宋" w:hAnsi="仿宋" w:eastAsia="仿宋" w:cs="仿宋"/>
          <w:color w:val="000000"/>
          <w:sz w:val="28"/>
          <w:szCs w:val="28"/>
          <w:highlight w:val="none"/>
          <w:shd w:val="clear" w:color="auto" w:fill="FFFFFF"/>
          <w:lang w:eastAsia="zh-CN"/>
        </w:rPr>
        <w:t>）</w:t>
      </w:r>
      <w:r>
        <w:rPr>
          <w:rFonts w:hint="eastAsia" w:ascii="仿宋" w:hAnsi="仿宋" w:eastAsia="仿宋" w:cs="仿宋"/>
          <w:color w:val="000000"/>
          <w:sz w:val="28"/>
          <w:szCs w:val="28"/>
          <w:highlight w:val="none"/>
          <w:shd w:val="clear" w:color="auto" w:fill="FFFFFF"/>
        </w:rPr>
        <w:t>若有验收程序，甲乙双方必须同时在场，乙方所提供的服务</w:t>
      </w:r>
      <w:r>
        <w:rPr>
          <w:rFonts w:hint="eastAsia" w:ascii="仿宋" w:hAnsi="仿宋" w:eastAsia="仿宋" w:cs="仿宋"/>
          <w:color w:val="000000"/>
          <w:sz w:val="28"/>
          <w:szCs w:val="28"/>
          <w:highlight w:val="none"/>
          <w:shd w:val="clear" w:color="auto" w:fill="FFFFFF"/>
          <w:lang w:eastAsia="zh-CN"/>
        </w:rPr>
        <w:t>、</w:t>
      </w:r>
      <w:r>
        <w:rPr>
          <w:rFonts w:hint="eastAsia" w:ascii="仿宋" w:hAnsi="仿宋" w:eastAsia="仿宋" w:cs="仿宋"/>
          <w:color w:val="000000"/>
          <w:sz w:val="28"/>
          <w:szCs w:val="28"/>
          <w:highlight w:val="none"/>
          <w:shd w:val="clear" w:color="auto" w:fill="FFFFFF"/>
          <w:lang w:val="en-US" w:eastAsia="zh-CN"/>
        </w:rPr>
        <w:t>产品</w:t>
      </w:r>
      <w:r>
        <w:rPr>
          <w:rFonts w:hint="eastAsia" w:ascii="仿宋" w:hAnsi="仿宋" w:eastAsia="仿宋" w:cs="仿宋"/>
          <w:color w:val="000000"/>
          <w:sz w:val="28"/>
          <w:szCs w:val="28"/>
          <w:highlight w:val="none"/>
          <w:shd w:val="clear" w:color="auto" w:fill="FFFFFF"/>
        </w:rPr>
        <w:t>不符合</w:t>
      </w:r>
      <w:r>
        <w:rPr>
          <w:rFonts w:hint="eastAsia" w:ascii="仿宋" w:hAnsi="仿宋" w:eastAsia="仿宋" w:cs="仿宋"/>
          <w:color w:val="000000"/>
          <w:sz w:val="28"/>
          <w:szCs w:val="28"/>
          <w:highlight w:val="none"/>
          <w:shd w:val="clear" w:color="auto" w:fill="FFFFFF"/>
          <w:lang w:val="en-US" w:eastAsia="zh-CN"/>
        </w:rPr>
        <w:t>采购要求</w:t>
      </w:r>
      <w:r>
        <w:rPr>
          <w:rFonts w:hint="eastAsia" w:ascii="仿宋" w:hAnsi="仿宋" w:eastAsia="仿宋" w:cs="仿宋"/>
          <w:color w:val="000000"/>
          <w:sz w:val="28"/>
          <w:szCs w:val="28"/>
          <w:highlight w:val="none"/>
          <w:shd w:val="clear" w:color="auto" w:fill="FFFFFF"/>
        </w:rPr>
        <w:t>的，甲方有权拒绝验收。乙方应及时按本合同内容规定和甲方要求免费进行整改，直至验收合格，方视为乙方按本合同规定完成服务</w:t>
      </w:r>
      <w:r>
        <w:rPr>
          <w:rFonts w:hint="eastAsia" w:ascii="仿宋" w:hAnsi="仿宋" w:eastAsia="仿宋" w:cs="仿宋"/>
          <w:color w:val="000000"/>
          <w:sz w:val="28"/>
          <w:szCs w:val="28"/>
          <w:highlight w:val="none"/>
          <w:shd w:val="clear" w:color="auto" w:fill="FFFFFF"/>
          <w:lang w:eastAsia="zh-CN"/>
        </w:rPr>
        <w:t>。</w:t>
      </w:r>
    </w:p>
    <w:p w14:paraId="7C803E62">
      <w:pPr>
        <w:keepNext w:val="0"/>
        <w:keepLines w:val="0"/>
        <w:pageBreakBefore w:val="0"/>
        <w:widowControl w:val="0"/>
        <w:kinsoku/>
        <w:wordWrap/>
        <w:overflowPunct/>
        <w:topLinePunct w:val="0"/>
        <w:autoSpaceDE/>
        <w:autoSpaceDN/>
        <w:bidi w:val="0"/>
        <w:spacing w:beforeAutospacing="0" w:afterAutospacing="0" w:line="300" w:lineRule="auto"/>
        <w:ind w:firstLine="560" w:firstLineChars="200"/>
        <w:textAlignment w:val="auto"/>
        <w:rPr>
          <w:rFonts w:hint="eastAsia" w:ascii="仿宋" w:hAnsi="仿宋" w:eastAsia="仿宋" w:cs="仿宋"/>
          <w:color w:val="000000"/>
          <w:sz w:val="28"/>
          <w:szCs w:val="28"/>
          <w:highlight w:val="none"/>
          <w:shd w:val="clear" w:color="auto" w:fill="FFFFFF"/>
        </w:rPr>
      </w:pPr>
      <w:r>
        <w:rPr>
          <w:rFonts w:hint="eastAsia" w:ascii="仿宋" w:hAnsi="仿宋" w:eastAsia="仿宋" w:cs="仿宋"/>
          <w:color w:val="000000"/>
          <w:sz w:val="28"/>
          <w:szCs w:val="28"/>
          <w:highlight w:val="none"/>
          <w:shd w:val="clear" w:color="auto" w:fill="FFFFFF"/>
          <w:lang w:eastAsia="zh-CN"/>
        </w:rPr>
        <w:t>（</w:t>
      </w:r>
      <w:r>
        <w:rPr>
          <w:rFonts w:hint="eastAsia" w:ascii="仿宋" w:hAnsi="仿宋" w:eastAsia="仿宋" w:cs="仿宋"/>
          <w:color w:val="000000"/>
          <w:sz w:val="28"/>
          <w:szCs w:val="28"/>
          <w:highlight w:val="none"/>
          <w:shd w:val="clear" w:color="auto" w:fill="FFFFFF"/>
          <w:lang w:val="en-US" w:eastAsia="zh-CN"/>
        </w:rPr>
        <w:t>12</w:t>
      </w:r>
      <w:r>
        <w:rPr>
          <w:rFonts w:hint="eastAsia" w:ascii="仿宋" w:hAnsi="仿宋" w:eastAsia="仿宋" w:cs="仿宋"/>
          <w:color w:val="000000"/>
          <w:sz w:val="28"/>
          <w:szCs w:val="28"/>
          <w:highlight w:val="none"/>
          <w:shd w:val="clear" w:color="auto" w:fill="FFFFFF"/>
          <w:lang w:eastAsia="zh-CN"/>
        </w:rPr>
        <w:t>）</w:t>
      </w:r>
      <w:r>
        <w:rPr>
          <w:rFonts w:hint="eastAsia" w:ascii="仿宋" w:hAnsi="仿宋" w:eastAsia="仿宋" w:cs="仿宋"/>
          <w:color w:val="000000"/>
          <w:sz w:val="28"/>
          <w:szCs w:val="28"/>
          <w:highlight w:val="none"/>
          <w:shd w:val="clear" w:color="auto" w:fill="FFFFFF"/>
        </w:rPr>
        <w:t>在经过乙方两次限期整改后，</w:t>
      </w:r>
      <w:r>
        <w:rPr>
          <w:rFonts w:hint="eastAsia" w:ascii="仿宋" w:hAnsi="仿宋" w:eastAsia="仿宋" w:cs="仿宋"/>
          <w:color w:val="000000"/>
          <w:sz w:val="28"/>
          <w:szCs w:val="28"/>
          <w:highlight w:val="none"/>
          <w:shd w:val="clear" w:color="auto" w:fill="FFFFFF"/>
          <w:lang w:val="en-US" w:eastAsia="zh-CN"/>
        </w:rPr>
        <w:t>检测</w:t>
      </w:r>
      <w:r>
        <w:rPr>
          <w:rFonts w:hint="eastAsia" w:ascii="仿宋" w:hAnsi="仿宋" w:eastAsia="仿宋" w:cs="仿宋"/>
          <w:color w:val="000000"/>
          <w:sz w:val="28"/>
          <w:szCs w:val="28"/>
          <w:highlight w:val="none"/>
          <w:shd w:val="clear" w:color="auto" w:fill="FFFFFF"/>
        </w:rPr>
        <w:t>服务仍达不到合同文件规定内容的，甲方有权拒收，并可以解除合同，由此引起甲方损失及赔偿责任由乙方承担</w:t>
      </w:r>
      <w:r>
        <w:rPr>
          <w:rFonts w:hint="eastAsia" w:ascii="仿宋" w:hAnsi="仿宋" w:eastAsia="仿宋" w:cs="仿宋"/>
          <w:color w:val="000000"/>
          <w:sz w:val="28"/>
          <w:szCs w:val="28"/>
          <w:highlight w:val="none"/>
          <w:shd w:val="clear" w:color="auto" w:fill="FFFFFF"/>
          <w:lang w:eastAsia="zh-CN"/>
        </w:rPr>
        <w:t>。</w:t>
      </w:r>
    </w:p>
    <w:p w14:paraId="70484DC4">
      <w:pPr>
        <w:keepNext w:val="0"/>
        <w:keepLines w:val="0"/>
        <w:pageBreakBefore w:val="0"/>
        <w:wordWrap/>
        <w:overflowPunct/>
        <w:topLinePunct w:val="0"/>
        <w:bidi w:val="0"/>
        <w:spacing w:beforeAutospacing="0" w:afterAutospacing="0" w:line="36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w:t>
      </w:r>
      <w:r>
        <w:rPr>
          <w:rFonts w:hint="eastAsia" w:ascii="仿宋" w:hAnsi="仿宋" w:eastAsia="仿宋" w:cs="仿宋"/>
          <w:b/>
          <w:color w:val="000000"/>
          <w:sz w:val="28"/>
          <w:szCs w:val="28"/>
          <w:highlight w:val="none"/>
          <w:lang w:val="en-US" w:eastAsia="zh-CN"/>
        </w:rPr>
        <w:t>十</w:t>
      </w:r>
      <w:r>
        <w:rPr>
          <w:rFonts w:hint="eastAsia" w:ascii="仿宋" w:hAnsi="仿宋" w:eastAsia="仿宋" w:cs="仿宋"/>
          <w:b/>
          <w:color w:val="000000"/>
          <w:sz w:val="28"/>
          <w:szCs w:val="28"/>
          <w:highlight w:val="none"/>
        </w:rPr>
        <w:t>条  违约责任</w:t>
      </w:r>
    </w:p>
    <w:p w14:paraId="0A438400">
      <w:pPr>
        <w:spacing w:line="360" w:lineRule="auto"/>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1、合同违约情况按《中华人民共和国民法典》中的相关条款执行。</w:t>
      </w:r>
    </w:p>
    <w:p w14:paraId="5BC05642">
      <w:pPr>
        <w:spacing w:line="360" w:lineRule="auto"/>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2、甲乙双方必须遵守本合同并执行合同中的各项规定，保证本合同的正常履行。</w:t>
      </w:r>
    </w:p>
    <w:p w14:paraId="7B12FD50">
      <w:pPr>
        <w:spacing w:line="360" w:lineRule="auto"/>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3、甲乙双方如因其他原因要解除合约，应提前一个月通知对方，如有一方违反 将补偿对方一个月服务费，同时按照相关法律法规承担相应处罚。   </w:t>
      </w:r>
    </w:p>
    <w:p w14:paraId="747F81BA">
      <w:pPr>
        <w:spacing w:line="360" w:lineRule="auto"/>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4、原材料没有按时按要求配送到位，影响甲方员工餐厅正常开餐的，以当日需求计划总量两倍价款赔付当日损失，同时责任原材料乙方应支付当日需求计划总量30%价款作为违约金。</w:t>
      </w:r>
    </w:p>
    <w:p w14:paraId="5FFF92A3">
      <w:pPr>
        <w:spacing w:line="360" w:lineRule="auto"/>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5、原材料在验收时有不符合要求的，一律退回，乙方无条件重新更换配送货物，更换后仍然不符合标准的，乙方应支付违约金；同时应明确违约金数额，可以约定以当日需求计划总量30%价款作为违约金。</w:t>
      </w:r>
    </w:p>
    <w:p w14:paraId="27821B3B">
      <w:pPr>
        <w:spacing w:line="360" w:lineRule="auto"/>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6、任何因原材料质量问题导致的食品安全或食物中毒责任，在确认导致问题的原材料品种后，由该乙方承担全部法律责任与经济损失，除对甲方进行赔付外，甲方有权单方终止合同</w:t>
      </w:r>
    </w:p>
    <w:p w14:paraId="394F4689">
      <w:pPr>
        <w:spacing w:line="360" w:lineRule="auto"/>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7、乙方人员违反合同所约定之义务，影响合同约定区域的安全或导致甲方其他方面损害，经甲方书面警告仍无整改，甲方有权单方面终止合同，而无须承担任何责任。</w:t>
      </w:r>
    </w:p>
    <w:p w14:paraId="173FDD06">
      <w:pPr>
        <w:spacing w:line="360" w:lineRule="auto"/>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8、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955A169">
      <w:pPr>
        <w:spacing w:line="360" w:lineRule="auto"/>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9、乙方未按合同要求提供服务、产品的质量不能满足采购需求，甲方有权终止合同并对乙方违约行为进行追究，同时按政府采购法的有关规定进行相应的处罚。</w:t>
      </w:r>
    </w:p>
    <w:p w14:paraId="456549EC">
      <w:pPr>
        <w:keepNext w:val="0"/>
        <w:keepLines w:val="0"/>
        <w:pageBreakBefore w:val="0"/>
        <w:wordWrap/>
        <w:overflowPunct/>
        <w:topLinePunct w:val="0"/>
        <w:bidi w:val="0"/>
        <w:spacing w:beforeAutospacing="0" w:afterAutospacing="0" w:line="36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第十</w:t>
      </w:r>
      <w:r>
        <w:rPr>
          <w:rFonts w:hint="eastAsia" w:ascii="仿宋" w:hAnsi="仿宋" w:eastAsia="仿宋" w:cs="仿宋"/>
          <w:b/>
          <w:color w:val="000000"/>
          <w:sz w:val="28"/>
          <w:szCs w:val="28"/>
          <w:highlight w:val="none"/>
          <w:lang w:val="en-US" w:eastAsia="zh-CN"/>
        </w:rPr>
        <w:t>一</w:t>
      </w:r>
      <w:r>
        <w:rPr>
          <w:rFonts w:hint="eastAsia" w:ascii="仿宋" w:hAnsi="仿宋" w:eastAsia="仿宋" w:cs="仿宋"/>
          <w:b/>
          <w:color w:val="000000"/>
          <w:sz w:val="28"/>
          <w:szCs w:val="28"/>
          <w:highlight w:val="none"/>
        </w:rPr>
        <w:t>条  合同的变更和终止</w:t>
      </w:r>
    </w:p>
    <w:p w14:paraId="17080557">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除《中华人民共和国政府采购法》第49条、第50条第二款规定的情形外，本合同一经签订，甲乙双方不得擅自变更、中止或终止合同。</w:t>
      </w:r>
    </w:p>
    <w:p w14:paraId="4B5675EB">
      <w:pPr>
        <w:keepNext w:val="0"/>
        <w:keepLines w:val="0"/>
        <w:pageBreakBefore w:val="0"/>
        <w:wordWrap/>
        <w:overflowPunct/>
        <w:topLinePunct w:val="0"/>
        <w:bidi w:val="0"/>
        <w:spacing w:beforeAutospacing="0" w:afterAutospacing="0" w:line="36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第十</w:t>
      </w:r>
      <w:r>
        <w:rPr>
          <w:rFonts w:hint="eastAsia" w:ascii="仿宋" w:hAnsi="仿宋" w:eastAsia="仿宋" w:cs="仿宋"/>
          <w:b/>
          <w:color w:val="000000"/>
          <w:sz w:val="28"/>
          <w:szCs w:val="28"/>
          <w:highlight w:val="none"/>
          <w:lang w:val="en-US" w:eastAsia="zh-CN"/>
        </w:rPr>
        <w:t>二</w:t>
      </w:r>
      <w:r>
        <w:rPr>
          <w:rFonts w:hint="eastAsia" w:ascii="仿宋" w:hAnsi="仿宋" w:eastAsia="仿宋" w:cs="仿宋"/>
          <w:b/>
          <w:color w:val="000000"/>
          <w:sz w:val="28"/>
          <w:szCs w:val="28"/>
          <w:highlight w:val="none"/>
        </w:rPr>
        <w:t>条  解决合同纠纷的方式</w:t>
      </w:r>
    </w:p>
    <w:p w14:paraId="1FC2057C">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仿宋" w:hAnsi="仿宋" w:eastAsia="仿宋" w:cs="仿宋"/>
          <w:color w:val="000000"/>
          <w:sz w:val="28"/>
          <w:szCs w:val="28"/>
          <w:highlight w:val="none"/>
          <w:u w:val="single"/>
          <w:lang w:eastAsia="zh-CN"/>
        </w:rPr>
        <w:t>（</w:t>
      </w:r>
      <w:r>
        <w:rPr>
          <w:rFonts w:hint="eastAsia" w:ascii="仿宋" w:hAnsi="仿宋" w:eastAsia="仿宋" w:cs="仿宋"/>
          <w:color w:val="000000"/>
          <w:sz w:val="28"/>
          <w:szCs w:val="28"/>
          <w:highlight w:val="none"/>
          <w:u w:val="single"/>
          <w:lang w:val="en-US" w:eastAsia="zh-CN"/>
        </w:rPr>
        <w:t>1</w:t>
      </w:r>
      <w:r>
        <w:rPr>
          <w:rFonts w:hint="eastAsia" w:ascii="仿宋" w:hAnsi="仿宋" w:eastAsia="仿宋" w:cs="仿宋"/>
          <w:color w:val="000000"/>
          <w:sz w:val="28"/>
          <w:szCs w:val="28"/>
          <w:highlight w:val="none"/>
          <w:u w:val="single"/>
          <w:lang w:eastAsia="zh-CN"/>
        </w:rPr>
        <w:t>）</w:t>
      </w:r>
      <w:r>
        <w:rPr>
          <w:rFonts w:hint="eastAsia" w:ascii="仿宋" w:hAnsi="仿宋" w:eastAsia="仿宋" w:cs="仿宋"/>
          <w:color w:val="000000"/>
          <w:sz w:val="28"/>
          <w:szCs w:val="28"/>
          <w:highlight w:val="none"/>
        </w:rPr>
        <w:t>种方式解决争议：</w:t>
      </w:r>
    </w:p>
    <w:p w14:paraId="206EF463">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（1）向甲方所在地有管辖权的人民法院提起诉讼；</w:t>
      </w:r>
    </w:p>
    <w:p w14:paraId="70CBA963">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（2）向西安仲裁委员会按其仲裁规则申请仲裁。</w:t>
      </w:r>
    </w:p>
    <w:p w14:paraId="3FCB6BB1">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2、在仲裁期间，除双方有争议的部分外，本合同其他部分仍然有效，各方应继续履行。</w:t>
      </w:r>
    </w:p>
    <w:p w14:paraId="7836B35E">
      <w:pPr>
        <w:keepNext w:val="0"/>
        <w:keepLines w:val="0"/>
        <w:pageBreakBefore w:val="0"/>
        <w:wordWrap/>
        <w:overflowPunct/>
        <w:topLinePunct w:val="0"/>
        <w:bidi w:val="0"/>
        <w:spacing w:beforeAutospacing="0" w:afterAutospacing="0" w:line="36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第十</w:t>
      </w:r>
      <w:r>
        <w:rPr>
          <w:rFonts w:hint="eastAsia" w:ascii="仿宋" w:hAnsi="仿宋" w:eastAsia="仿宋" w:cs="仿宋"/>
          <w:b/>
          <w:color w:val="000000"/>
          <w:sz w:val="28"/>
          <w:szCs w:val="28"/>
          <w:highlight w:val="none"/>
          <w:lang w:val="en-US" w:eastAsia="zh-CN"/>
        </w:rPr>
        <w:t>三</w:t>
      </w:r>
      <w:r>
        <w:rPr>
          <w:rFonts w:hint="eastAsia" w:ascii="仿宋" w:hAnsi="仿宋" w:eastAsia="仿宋" w:cs="仿宋"/>
          <w:b/>
          <w:color w:val="000000"/>
          <w:sz w:val="28"/>
          <w:szCs w:val="28"/>
          <w:highlight w:val="none"/>
        </w:rPr>
        <w:t>条  附件</w:t>
      </w:r>
    </w:p>
    <w:p w14:paraId="3B553C1C">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1、采购文件</w:t>
      </w:r>
    </w:p>
    <w:p w14:paraId="067028A6">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2、修改澄清文件</w:t>
      </w:r>
    </w:p>
    <w:p w14:paraId="75FD91E7">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3、响应文件</w:t>
      </w:r>
    </w:p>
    <w:p w14:paraId="16278143">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4、成交通知书</w:t>
      </w:r>
    </w:p>
    <w:p w14:paraId="35F8E90F">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b/>
          <w:color w:val="000000"/>
          <w:sz w:val="28"/>
          <w:szCs w:val="28"/>
          <w:highlight w:val="none"/>
        </w:rPr>
      </w:pPr>
      <w:r>
        <w:rPr>
          <w:rFonts w:hint="eastAsia" w:ascii="仿宋" w:hAnsi="仿宋" w:eastAsia="仿宋" w:cs="仿宋"/>
          <w:color w:val="000000"/>
          <w:sz w:val="28"/>
          <w:szCs w:val="28"/>
          <w:highlight w:val="none"/>
        </w:rPr>
        <w:t>5、其他</w:t>
      </w:r>
    </w:p>
    <w:p w14:paraId="2A2689FE">
      <w:pPr>
        <w:keepNext w:val="0"/>
        <w:keepLines w:val="0"/>
        <w:pageBreakBefore w:val="0"/>
        <w:wordWrap/>
        <w:overflowPunct/>
        <w:topLinePunct w:val="0"/>
        <w:bidi w:val="0"/>
        <w:spacing w:beforeAutospacing="0" w:afterAutospacing="0" w:line="360" w:lineRule="auto"/>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第十</w:t>
      </w:r>
      <w:r>
        <w:rPr>
          <w:rFonts w:hint="eastAsia" w:ascii="仿宋" w:hAnsi="仿宋" w:eastAsia="仿宋" w:cs="仿宋"/>
          <w:b/>
          <w:color w:val="000000"/>
          <w:sz w:val="28"/>
          <w:szCs w:val="28"/>
          <w:highlight w:val="none"/>
          <w:lang w:val="en-US" w:eastAsia="zh-CN"/>
        </w:rPr>
        <w:t>四</w:t>
      </w:r>
      <w:r>
        <w:rPr>
          <w:rFonts w:hint="eastAsia" w:ascii="仿宋" w:hAnsi="仿宋" w:eastAsia="仿宋" w:cs="仿宋"/>
          <w:b/>
          <w:color w:val="000000"/>
          <w:sz w:val="28"/>
          <w:szCs w:val="28"/>
          <w:highlight w:val="none"/>
        </w:rPr>
        <w:t>条  合同生效及其他</w:t>
      </w:r>
    </w:p>
    <w:p w14:paraId="5DAD4961">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1、合同经双方法定代表人</w:t>
      </w:r>
      <w:r>
        <w:rPr>
          <w:rFonts w:hint="eastAsia" w:ascii="仿宋" w:hAnsi="仿宋" w:eastAsia="仿宋" w:cs="仿宋"/>
          <w:color w:val="000000"/>
          <w:sz w:val="28"/>
          <w:szCs w:val="28"/>
          <w:highlight w:val="none"/>
          <w:lang w:val="en-US" w:eastAsia="zh-CN"/>
        </w:rPr>
        <w:t>(单位负责人)</w:t>
      </w:r>
      <w:r>
        <w:rPr>
          <w:rFonts w:hint="eastAsia" w:ascii="仿宋" w:hAnsi="仿宋" w:eastAsia="仿宋" w:cs="仿宋"/>
          <w:color w:val="000000"/>
          <w:sz w:val="28"/>
          <w:szCs w:val="28"/>
          <w:highlight w:val="none"/>
        </w:rPr>
        <w:t>或授权委托代理人签字并加盖单位公章后生效。</w:t>
      </w:r>
    </w:p>
    <w:p w14:paraId="2AB6E292">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2、合同执行中涉及采购资金和采购内容修改或补充的，须经政府采购监管部门审批，并</w:t>
      </w:r>
      <w:r>
        <w:rPr>
          <w:rFonts w:hint="eastAsia" w:ascii="仿宋" w:hAnsi="仿宋" w:eastAsia="仿宋" w:cs="仿宋"/>
          <w:color w:val="000000"/>
          <w:sz w:val="28"/>
          <w:szCs w:val="28"/>
          <w:highlight w:val="none"/>
          <w:lang w:eastAsia="zh-CN"/>
        </w:rPr>
        <w:t>签订</w:t>
      </w:r>
      <w:r>
        <w:rPr>
          <w:rFonts w:hint="eastAsia" w:ascii="仿宋" w:hAnsi="仿宋" w:eastAsia="仿宋" w:cs="仿宋"/>
          <w:color w:val="000000"/>
          <w:sz w:val="28"/>
          <w:szCs w:val="28"/>
          <w:highlight w:val="none"/>
        </w:rPr>
        <w:t>书面补充协议报政府采购监督管理部门备案，方可作为主合同不可分割的一部分。</w:t>
      </w:r>
    </w:p>
    <w:p w14:paraId="0E171CF2">
      <w:pPr>
        <w:keepNext w:val="0"/>
        <w:keepLines w:val="0"/>
        <w:pageBreakBefore w:val="0"/>
        <w:wordWrap/>
        <w:overflowPunct/>
        <w:topLinePunct w:val="0"/>
        <w:bidi w:val="0"/>
        <w:spacing w:beforeAutospacing="0" w:afterAutospacing="0" w:line="360" w:lineRule="auto"/>
        <w:ind w:firstLine="42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3、本合同一式</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份，自双方签章之日起</w:t>
      </w:r>
      <w:r>
        <w:rPr>
          <w:rFonts w:hint="eastAsia" w:ascii="仿宋" w:hAnsi="仿宋" w:eastAsia="仿宋" w:cs="仿宋"/>
          <w:color w:val="000000"/>
          <w:sz w:val="28"/>
          <w:szCs w:val="28"/>
          <w:highlight w:val="none"/>
          <w:lang w:eastAsia="zh-CN"/>
        </w:rPr>
        <w:t>生效</w:t>
      </w:r>
      <w:r>
        <w:rPr>
          <w:rFonts w:hint="eastAsia" w:ascii="仿宋" w:hAnsi="仿宋" w:eastAsia="仿宋" w:cs="仿宋"/>
          <w:color w:val="000000"/>
          <w:sz w:val="28"/>
          <w:szCs w:val="28"/>
          <w:highlight w:val="none"/>
        </w:rPr>
        <w:t>。甲方</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份，乙方</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份，政府采购代理机构壹份，同级财政部门备案壹份，具有同等法律效力。</w:t>
      </w:r>
    </w:p>
    <w:p w14:paraId="06CFC8A3">
      <w:pPr>
        <w:keepNext w:val="0"/>
        <w:keepLines w:val="0"/>
        <w:pageBreakBefore w:val="0"/>
        <w:wordWrap/>
        <w:overflowPunct/>
        <w:topLinePunct w:val="0"/>
        <w:bidi w:val="0"/>
        <w:spacing w:beforeAutospacing="0" w:afterAutospacing="0" w:line="360" w:lineRule="auto"/>
        <w:ind w:firstLine="422"/>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（以下无正文为合同签署页）</w:t>
      </w:r>
    </w:p>
    <w:p w14:paraId="497AB84B">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甲方（盖章）：                          乙方（盖章）：                   </w:t>
      </w:r>
    </w:p>
    <w:p w14:paraId="318CAAB3">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法定代表人/授权代理人                  法定代表人/授权代理人             </w:t>
      </w:r>
    </w:p>
    <w:p w14:paraId="115F01FA">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（签字或盖章）：                       （签字或盖章）：          </w:t>
      </w:r>
    </w:p>
    <w:p w14:paraId="62DAE952">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地址：                                  地址：                        </w:t>
      </w:r>
    </w:p>
    <w:p w14:paraId="560AA3C2">
      <w:pPr>
        <w:keepNext w:val="0"/>
        <w:keepLines w:val="0"/>
        <w:pageBreakBefore w:val="0"/>
        <w:widowControl w:val="0"/>
        <w:kinsoku/>
        <w:wordWrap/>
        <w:overflowPunct/>
        <w:topLinePunct w:val="0"/>
        <w:autoSpaceDE/>
        <w:autoSpaceDN/>
        <w:bidi w:val="0"/>
        <w:spacing w:beforeAutospacing="0" w:afterAutospacing="0" w:line="360" w:lineRule="auto"/>
        <w:ind w:firstLine="42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电话：                                  电话：                    </w:t>
      </w:r>
    </w:p>
    <w:p w14:paraId="7A2F4DFA">
      <w:pPr>
        <w:pStyle w:val="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账户名称：                              账户名称：</w:t>
      </w:r>
    </w:p>
    <w:p w14:paraId="50E96245">
      <w:pPr>
        <w:pStyle w:val="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账户号码：                              账户号码：</w:t>
      </w:r>
    </w:p>
    <w:p w14:paraId="31069714">
      <w:pPr>
        <w:pStyle w:val="5"/>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开户银行：                              开户银行：</w:t>
      </w:r>
    </w:p>
    <w:p w14:paraId="6771ADC4">
      <w:pPr>
        <w:keepNext w:val="0"/>
        <w:keepLines w:val="0"/>
        <w:pageBreakBefore w:val="0"/>
        <w:widowControl w:val="0"/>
        <w:kinsoku/>
        <w:wordWrap/>
        <w:overflowPunct/>
        <w:topLinePunct w:val="0"/>
        <w:autoSpaceDE/>
        <w:autoSpaceDN/>
        <w:bidi w:val="0"/>
        <w:spacing w:beforeAutospacing="0" w:afterAutospacing="0" w:line="360" w:lineRule="auto"/>
        <w:ind w:firstLine="560" w:firstLineChars="200"/>
        <w:textAlignment w:val="auto"/>
        <w:rPr>
          <w:rFonts w:hint="eastAsia" w:ascii="仿宋" w:hAnsi="仿宋" w:eastAsia="仿宋" w:cs="仿宋"/>
          <w:color w:val="000000"/>
          <w:sz w:val="28"/>
          <w:szCs w:val="28"/>
          <w:highlight w:val="none"/>
          <w:lang w:val="en-US" w:eastAsia="zh-Hans"/>
        </w:rPr>
      </w:pPr>
      <w:r>
        <w:rPr>
          <w:rFonts w:hint="eastAsia" w:ascii="仿宋" w:hAnsi="仿宋" w:eastAsia="仿宋" w:cs="仿宋"/>
          <w:color w:val="000000"/>
          <w:sz w:val="28"/>
          <w:szCs w:val="28"/>
          <w:highlight w:val="none"/>
        </w:rPr>
        <w:t xml:space="preserve">签约时间：                              签约时间： </w:t>
      </w:r>
    </w:p>
    <w:p w14:paraId="219E867E">
      <w:pPr>
        <w:rPr>
          <w:color w:val="000000"/>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C673D1"/>
    <w:rsid w:val="1A5959E3"/>
    <w:rsid w:val="1BF754B3"/>
    <w:rsid w:val="34E46DD3"/>
    <w:rsid w:val="38D50C4B"/>
    <w:rsid w:val="3F125FDD"/>
    <w:rsid w:val="57C673D1"/>
    <w:rsid w:val="5C7834CB"/>
    <w:rsid w:val="75942569"/>
    <w:rsid w:val="79737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Calibri Light" w:hAnsi="Calibri Light" w:eastAsia="宋体" w:cs="Times New Roman"/>
      <w:b/>
      <w:bCs/>
      <w:kern w:val="0"/>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99"/>
    <w:pPr>
      <w:spacing w:after="120"/>
    </w:pPr>
    <w:rPr>
      <w:rFonts w:ascii="Times New Roman" w:hAnsi="Times New Roman"/>
      <w:szCs w:val="24"/>
    </w:rPr>
  </w:style>
  <w:style w:type="paragraph" w:styleId="5">
    <w:name w:val="Plain Text"/>
    <w:basedOn w:val="1"/>
    <w:qFormat/>
    <w:uiPriority w:val="0"/>
    <w:rPr>
      <w:rFonts w:ascii="宋体" w:hAnsi="Courier New" w:cs="Courier New"/>
      <w:szCs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Calibri" w:hAnsi="Calibri" w:eastAsia="宋体" w:cs="Times New Roman"/>
      <w:lang w:val="en-US" w:eastAsia="zh-Hans"/>
    </w:rPr>
  </w:style>
  <w:style w:type="table" w:customStyle="1" w:styleId="10">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11">
    <w:name w:val="Table Text"/>
    <w:basedOn w:val="1"/>
    <w:qFormat/>
    <w:uiPriority w:val="0"/>
    <w:pPr>
      <w:kinsoku w:val="0"/>
      <w:autoSpaceDE w:val="0"/>
      <w:autoSpaceDN w:val="0"/>
      <w:adjustRightInd w:val="0"/>
      <w:snapToGrid w:val="0"/>
      <w:spacing w:before="240" w:line="329" w:lineRule="auto"/>
      <w:ind w:left="96" w:right="100" w:firstLine="200" w:firstLineChars="100"/>
      <w:jc w:val="center"/>
      <w:textAlignment w:val="baseline"/>
    </w:pPr>
    <w:rPr>
      <w:rFonts w:ascii="Times New Roman" w:hAnsi="Times New Roman"/>
      <w:snapToGrid w:val="0"/>
      <w:color w:val="FF0000"/>
      <w:kern w:val="0"/>
      <w:sz w:val="2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5708</Words>
  <Characters>5736</Characters>
  <Lines>0</Lines>
  <Paragraphs>0</Paragraphs>
  <TotalTime>0</TotalTime>
  <ScaleCrop>false</ScaleCrop>
  <LinksUpToDate>false</LinksUpToDate>
  <CharactersWithSpaces>6158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2026-03-13T11:44:00Z</dcterms:created>
  <dc:creator>杜航</dc:creator>
  <cp:lastModifiedBy>热血</cp:lastModifiedBy>
  <dcterms:modified xsi:type="dcterms:W3CDTF">2026-04-08T07:30:14Z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3FD9D8A7F2274029A5885766AFC1E3A1_13</vt:lpwstr>
  </property>
  <property fmtid="{D5CDD505-2E9C-101B-9397-08002B2CF9AE}" pid="4" name="KSOTemplateDocerSaveRecord">
    <vt:lpwstr>eyJoZGlkIjoiN2M1M2MxZTM2Y2EyZGUzOTY3M2Q5YWI2MDhmODFjYWEiLCJ1c2VySWQiOiI0ODE1MzEwNjcifQ==</vt:lpwstr>
  </property>
</Properties>
</file>