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版本号：ZRD-2026XAZC65120260410001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职工食堂食材配送服务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ZRD-2026XAZC651</w:t>
      </w:r>
      <w:r>
        <w:br/>
      </w:r>
      <w:r>
        <w:br/>
      </w:r>
      <w:r>
        <w:br/>
      </w:r>
    </w:p>
    <w:p>
      <w:pPr>
        <w:pStyle w:val="null3"/>
        <w:jc w:val="center"/>
        <w:outlineLvl w:val="2"/>
      </w:pPr>
      <w:r>
        <w:rPr>
          <w:rFonts w:ascii="仿宋_GB2312" w:hAnsi="仿宋_GB2312" w:cs="仿宋_GB2312" w:eastAsia="仿宋_GB2312"/>
          <w:sz w:val="28"/>
          <w:b/>
        </w:rPr>
        <w:t>西安市雁塔区疾病预防控制中心</w:t>
      </w:r>
    </w:p>
    <w:p>
      <w:pPr>
        <w:pStyle w:val="null3"/>
        <w:jc w:val="center"/>
        <w:outlineLvl w:val="2"/>
      </w:pPr>
      <w:r>
        <w:rPr>
          <w:rFonts w:ascii="仿宋_GB2312" w:hAnsi="仿宋_GB2312" w:cs="仿宋_GB2312" w:eastAsia="仿宋_GB2312"/>
          <w:sz w:val="28"/>
          <w:b/>
        </w:rPr>
        <w:t>中瑞达项目管理有限公司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中瑞达项目管理有限公司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西安市雁塔区疾病预防控制中心</w:t>
      </w:r>
      <w:r>
        <w:rPr>
          <w:rFonts w:ascii="仿宋_GB2312" w:hAnsi="仿宋_GB2312" w:cs="仿宋_GB2312" w:eastAsia="仿宋_GB2312"/>
        </w:rPr>
        <w:t>委托，拟对</w:t>
      </w:r>
      <w:r>
        <w:rPr>
          <w:rFonts w:ascii="仿宋_GB2312" w:hAnsi="仿宋_GB2312" w:cs="仿宋_GB2312" w:eastAsia="仿宋_GB2312"/>
        </w:rPr>
        <w:t>职工食堂食材配送服务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ZRD-2026XAZC651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职工食堂食材配送服务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西安市雁塔区疾病预防控制中心职工食堂食材配送服务主要为满足西安市雁塔区疾病预防控制中心食堂食材的供应，保障职工食堂每日餐食制作所需食材的稳定、及时、优质供应。</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采购包1（职工食堂食材配送服务项目）：属于专门面向中小企业采购。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负责人）委托授权书\身份证明：法定代表人（主要负责人）委托代理人参加投标时，应提供法定代表人（主要负责人）委托授权书；法定代表人（主要负责人）亲自参加投标时，应提供法定代表人（主要负责人）身份证明书及法定代表人（主要负责人）委托授权书。</w:t>
      </w:r>
    </w:p>
    <w:p>
      <w:pPr>
        <w:pStyle w:val="null3"/>
      </w:pPr>
      <w:r>
        <w:rPr>
          <w:rFonts w:ascii="仿宋_GB2312" w:hAnsi="仿宋_GB2312" w:cs="仿宋_GB2312" w:eastAsia="仿宋_GB2312"/>
        </w:rPr>
        <w:t>2、信用记录查询结果：供应商不得为信用中国”网站（www.creditchina.gov.cn）中重大税收违法失信主体名单的供应商，不得为“信用中国”网站（www.creditchina.gov.cn）中列入失信被执行人的供应商（页面跳转至“中国执行信息公开网”网站（zxgk.court.gov.cn）），不得为“中国政府采购网”网站（www.ccgp.gov.cn）政府采购严重违法失信行为记录名单中被财政部门禁止参加政府采购活动的供应商。</w:t>
      </w:r>
    </w:p>
    <w:p>
      <w:pPr>
        <w:pStyle w:val="null3"/>
      </w:pPr>
      <w:r>
        <w:rPr>
          <w:rFonts w:ascii="仿宋_GB2312" w:hAnsi="仿宋_GB2312" w:cs="仿宋_GB2312" w:eastAsia="仿宋_GB2312"/>
        </w:rPr>
        <w:t>3、企业资质：供应商为生产厂家的须提供《食品生产许可证》，供应商为经销商的须提供有效的《食品经营许可证》；供应商须提供所投产品生产企业的《动物防疫条件合格证》（仅肉类);供应商需在项目电子化交易系统中按要求上传相应证明文件并进行电子签章。</w:t>
      </w:r>
    </w:p>
    <w:p>
      <w:pPr>
        <w:pStyle w:val="null3"/>
      </w:pPr>
      <w:r>
        <w:rPr>
          <w:rFonts w:ascii="仿宋_GB2312" w:hAnsi="仿宋_GB2312" w:cs="仿宋_GB2312" w:eastAsia="仿宋_GB2312"/>
        </w:rPr>
        <w:t>4、非联合体磋商声明：提交非联合体形式参加本项目磋商的声明函。</w:t>
      </w:r>
    </w:p>
    <w:p>
      <w:pPr>
        <w:pStyle w:val="null3"/>
      </w:pPr>
      <w:r>
        <w:rPr>
          <w:rFonts w:ascii="仿宋_GB2312" w:hAnsi="仿宋_GB2312" w:cs="仿宋_GB2312" w:eastAsia="仿宋_GB2312"/>
        </w:rPr>
        <w:t>5、本项目专门面向中小企业采购：本项目专门面向中小企业采购（残疾人福利性单位、监狱企业视同小型、微型企业）[供应商需提供《中小企业声明函》（监狱企业的证明文件或《残疾人福利性单位声明函》）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雁塔区翠华北路345号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029-85430819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中瑞达项目管理有限公司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陕西省西安市未央区陕西省西安市经济技术开发区凤城五路与明光路十字西北角恒石国际中心B座9楼902</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兰工、郭工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029-86263596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代理服务费收费标准：招标代理服务费的收取参见国家计委颁布的《招标代理服务收费管理暂行办法》 (计价格[2002]1980号) 和(发改办价格[2003]857号) 中服务类收费收取，在领取成交通知书时向招标代理机构一次性交纳。 采购代理服务费缴纳账号： 单 位 名 称：中瑞达项目管理有限公司 开户行名称：中国建设银行股份有限公司西安海璟国际支行 帐 号：61050174860000000509 备注：项目编号+代理服务费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西安市雁塔区疾病预防控制中心</w:t>
      </w:r>
      <w:r>
        <w:rPr>
          <w:rFonts w:ascii="仿宋_GB2312" w:hAnsi="仿宋_GB2312" w:cs="仿宋_GB2312" w:eastAsia="仿宋_GB2312"/>
        </w:rPr>
        <w:t>和</w:t>
      </w:r>
      <w:r>
        <w:rPr>
          <w:rFonts w:ascii="仿宋_GB2312" w:hAnsi="仿宋_GB2312" w:cs="仿宋_GB2312" w:eastAsia="仿宋_GB2312"/>
        </w:rPr>
        <w:t>中瑞达项目管理有限公司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西安市雁塔区疾病预防控制中心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中瑞达项目管理有限公司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中瑞达项目管理有限公司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符合国家相关程序和相关规定。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联系人：兰霞</w:t>
      </w:r>
    </w:p>
    <w:p>
      <w:pPr>
        <w:pStyle w:val="null3"/>
      </w:pPr>
      <w:r>
        <w:rPr>
          <w:rFonts w:ascii="仿宋_GB2312" w:hAnsi="仿宋_GB2312" w:cs="仿宋_GB2312" w:eastAsia="仿宋_GB2312"/>
        </w:rPr>
        <w:t>联系电话：18329928722</w:t>
      </w:r>
    </w:p>
    <w:p>
      <w:pPr>
        <w:pStyle w:val="null3"/>
      </w:pPr>
      <w:r>
        <w:rPr>
          <w:rFonts w:ascii="仿宋_GB2312" w:hAnsi="仿宋_GB2312" w:cs="仿宋_GB2312" w:eastAsia="仿宋_GB2312"/>
        </w:rPr>
        <w:t>地址：西安市经济技术开发区凤城五路与明光路十字西北角凤城五路105号恒石国际B座902室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西安市雁塔区疾病预防控制中心职工食堂食材配送服务主要为满足西安市雁塔区疾病预防控制中心食堂食材的供应，保障职工食堂每日餐食制作所需食材的稳定、及时、优质供应。</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职工食堂食材配送服务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标的名称：职工食堂食材配送服务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8"/>
                <w:b/>
              </w:rPr>
              <w:t>项目概况</w:t>
            </w:r>
          </w:p>
          <w:p>
            <w:pPr>
              <w:pStyle w:val="null3"/>
              <w:spacing w:after="120"/>
              <w:jc w:val="both"/>
            </w:pPr>
            <w:r>
              <w:rPr>
                <w:rFonts w:ascii="仿宋_GB2312" w:hAnsi="仿宋_GB2312" w:cs="仿宋_GB2312" w:eastAsia="仿宋_GB2312"/>
                <w:sz w:val="24"/>
              </w:rPr>
              <w:t>西安市雁塔区疾病预防控制中心职工食堂食材配送服务主要为满足西安市雁塔区疾病预防控制中心食堂食材的供应，保障职工食堂每日餐食制作所需食材的稳定、及时、优质供应。</w:t>
            </w:r>
          </w:p>
          <w:p>
            <w:pPr>
              <w:pStyle w:val="null3"/>
              <w:numPr>
                <w:ilvl w:val="0"/>
                <w:numId w:val="1"/>
              </w:numPr>
              <w:jc w:val="both"/>
            </w:pPr>
            <w:r>
              <w:rPr>
                <w:rFonts w:ascii="仿宋_GB2312" w:hAnsi="仿宋_GB2312" w:cs="仿宋_GB2312" w:eastAsia="仿宋_GB2312"/>
                <w:sz w:val="28"/>
                <w:b/>
              </w:rPr>
              <w:t>服务内容</w:t>
            </w:r>
            <w:r>
              <w:rPr>
                <w:rFonts w:ascii="仿宋_GB2312" w:hAnsi="仿宋_GB2312" w:cs="仿宋_GB2312" w:eastAsia="仿宋_GB2312"/>
                <w:sz w:val="28"/>
                <w:b/>
              </w:rPr>
              <w:t>(包括工作区域、工作内容等)</w:t>
            </w:r>
          </w:p>
          <w:p>
            <w:pPr>
              <w:pStyle w:val="null3"/>
              <w:spacing w:after="120"/>
              <w:jc w:val="both"/>
            </w:pPr>
            <w:r>
              <w:rPr>
                <w:rFonts w:ascii="仿宋_GB2312" w:hAnsi="仿宋_GB2312" w:cs="仿宋_GB2312" w:eastAsia="仿宋_GB2312"/>
                <w:sz w:val="24"/>
                <w:b/>
              </w:rPr>
              <w:t>食材采购明细</w:t>
            </w:r>
          </w:p>
          <w:tbl>
            <w:tblPr>
              <w:tblInd w:type="dxa" w:w="105"/>
              <w:tblBorders>
                <w:top w:val="none" w:color="000000" w:sz="4"/>
                <w:left w:val="none" w:color="000000" w:sz="4"/>
                <w:bottom w:val="none" w:color="000000" w:sz="4"/>
                <w:right w:val="none" w:color="000000" w:sz="4"/>
                <w:insideH w:val="none"/>
                <w:insideV w:val="none"/>
              </w:tblBorders>
            </w:tblPr>
            <w:tblGrid>
              <w:gridCol w:w="360"/>
              <w:gridCol w:w="1425"/>
              <w:gridCol w:w="767"/>
            </w:tblGrid>
            <w:tr>
              <w:tc>
                <w:tcPr>
                  <w:tcW w:type="dxa" w:w="36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采购项目</w:t>
                  </w:r>
                </w:p>
              </w:tc>
              <w:tc>
                <w:tcPr>
                  <w:tcW w:type="dxa" w:w="142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规格</w:t>
                  </w:r>
                </w:p>
              </w:tc>
              <w:tc>
                <w:tcPr>
                  <w:tcW w:type="dxa" w:w="76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数量</w:t>
                  </w:r>
                </w:p>
              </w:tc>
            </w:tr>
            <w:tr>
              <w:tc>
                <w:tcPr>
                  <w:tcW w:type="dxa" w:w="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蔬菜类</w:t>
                  </w:r>
                </w:p>
              </w:tc>
              <w:tc>
                <w:tcPr>
                  <w:tcW w:type="dxa" w:w="14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农药残留不得超过《食品中农药最大残留限量》国家标准；</w:t>
                  </w:r>
                </w:p>
              </w:tc>
              <w:tc>
                <w:tcPr>
                  <w:tcW w:type="dxa" w:w="7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根据实际采购所需数量标准配送</w:t>
                  </w:r>
                </w:p>
              </w:tc>
            </w:tr>
            <w:tr>
              <w:tc>
                <w:tcPr>
                  <w:tcW w:type="dxa" w:w="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肉类</w:t>
                  </w:r>
                </w:p>
              </w:tc>
              <w:tc>
                <w:tcPr>
                  <w:tcW w:type="dxa" w:w="14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符合国家食品卫生管理规定。</w:t>
                  </w:r>
                </w:p>
              </w:tc>
              <w:tc>
                <w:tcPr>
                  <w:tcW w:type="dxa" w:w="7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根据实际采购所需数量标准配送</w:t>
                  </w:r>
                </w:p>
              </w:tc>
            </w:tr>
            <w:tr>
              <w:tc>
                <w:tcPr>
                  <w:tcW w:type="dxa" w:w="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冷冻食品</w:t>
                  </w:r>
                </w:p>
              </w:tc>
              <w:tc>
                <w:tcPr>
                  <w:tcW w:type="dxa" w:w="14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符合国家食品卫生管理规定。</w:t>
                  </w:r>
                </w:p>
              </w:tc>
              <w:tc>
                <w:tcPr>
                  <w:tcW w:type="dxa" w:w="7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根据实际采购所需数量标准配送</w:t>
                  </w:r>
                </w:p>
              </w:tc>
            </w:tr>
            <w:tr>
              <w:tc>
                <w:tcPr>
                  <w:tcW w:type="dxa" w:w="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豆制品</w:t>
                  </w:r>
                </w:p>
              </w:tc>
              <w:tc>
                <w:tcPr>
                  <w:tcW w:type="dxa" w:w="14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符合国家食品卫生管理规定。</w:t>
                  </w:r>
                </w:p>
              </w:tc>
              <w:tc>
                <w:tcPr>
                  <w:tcW w:type="dxa" w:w="7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根据实际采购所需数量标准配送</w:t>
                  </w:r>
                </w:p>
              </w:tc>
            </w:tr>
            <w:tr>
              <w:tc>
                <w:tcPr>
                  <w:tcW w:type="dxa" w:w="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禽蛋类</w:t>
                  </w:r>
                </w:p>
              </w:tc>
              <w:tc>
                <w:tcPr>
                  <w:tcW w:type="dxa" w:w="14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符合国家食品卫生管理规定。</w:t>
                  </w:r>
                </w:p>
              </w:tc>
              <w:tc>
                <w:tcPr>
                  <w:tcW w:type="dxa" w:w="7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根据实际采购所需数量标准配送</w:t>
                  </w:r>
                </w:p>
              </w:tc>
            </w:tr>
            <w:tr>
              <w:tc>
                <w:tcPr>
                  <w:tcW w:type="dxa" w:w="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干菜、调料类</w:t>
                  </w:r>
                </w:p>
              </w:tc>
              <w:tc>
                <w:tcPr>
                  <w:tcW w:type="dxa" w:w="14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符合国家食品卫生管理规定。</w:t>
                  </w:r>
                </w:p>
              </w:tc>
              <w:tc>
                <w:tcPr>
                  <w:tcW w:type="dxa" w:w="7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根据实际采购所需数量标准配送</w:t>
                  </w:r>
                </w:p>
              </w:tc>
            </w:tr>
            <w:tr>
              <w:tc>
                <w:tcPr>
                  <w:tcW w:type="dxa" w:w="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粮油</w:t>
                  </w:r>
                </w:p>
              </w:tc>
              <w:tc>
                <w:tcPr>
                  <w:tcW w:type="dxa" w:w="14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符合国家食品卫生管理规定。</w:t>
                  </w:r>
                </w:p>
              </w:tc>
              <w:tc>
                <w:tcPr>
                  <w:tcW w:type="dxa" w:w="7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根据实际采购所需数量标准配送</w:t>
                  </w:r>
                </w:p>
              </w:tc>
            </w:tr>
            <w:tr>
              <w:tc>
                <w:tcPr>
                  <w:tcW w:type="dxa" w:w="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日杂用品</w:t>
                  </w:r>
                </w:p>
              </w:tc>
              <w:tc>
                <w:tcPr>
                  <w:tcW w:type="dxa" w:w="14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符合国家、行业相关质量标准</w:t>
                  </w:r>
                </w:p>
                <w:p>
                  <w:pPr>
                    <w:pStyle w:val="null3"/>
                    <w:jc w:val="center"/>
                  </w:pPr>
                  <w:r>
                    <w:rPr>
                      <w:rFonts w:ascii="仿宋_GB2312" w:hAnsi="仿宋_GB2312" w:cs="仿宋_GB2312" w:eastAsia="仿宋_GB2312"/>
                      <w:sz w:val="24"/>
                    </w:rPr>
                    <w:t>和卫生标准。</w:t>
                  </w:r>
                </w:p>
              </w:tc>
              <w:tc>
                <w:tcPr>
                  <w:tcW w:type="dxa" w:w="7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根据实际采购所需数量标准配送</w:t>
                  </w:r>
                </w:p>
              </w:tc>
            </w:tr>
            <w:tr>
              <w:tc>
                <w:tcPr>
                  <w:tcW w:type="dxa" w:w="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水果类</w:t>
                  </w:r>
                </w:p>
              </w:tc>
              <w:tc>
                <w:tcPr>
                  <w:tcW w:type="dxa" w:w="14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农药残留不得超过《食品中农药最大残留限量》国家标准；</w:t>
                  </w:r>
                </w:p>
              </w:tc>
              <w:tc>
                <w:tcPr>
                  <w:tcW w:type="dxa" w:w="7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根据实际采购所需数量标准配送</w:t>
                  </w:r>
                </w:p>
              </w:tc>
            </w:tr>
            <w:tr>
              <w:tc>
                <w:tcPr>
                  <w:tcW w:type="dxa" w:w="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水产类</w:t>
                  </w:r>
                </w:p>
              </w:tc>
              <w:tc>
                <w:tcPr>
                  <w:tcW w:type="dxa" w:w="14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符合国家食品卫生管理规定。</w:t>
                  </w:r>
                </w:p>
              </w:tc>
              <w:tc>
                <w:tcPr>
                  <w:tcW w:type="dxa" w:w="7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根据实际采购所需数量标准配送</w:t>
                  </w:r>
                </w:p>
              </w:tc>
            </w:tr>
            <w:tr>
              <w:tc>
                <w:tcPr>
                  <w:tcW w:type="dxa" w:w="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餐具类</w:t>
                  </w:r>
                </w:p>
              </w:tc>
              <w:tc>
                <w:tcPr>
                  <w:tcW w:type="dxa" w:w="14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符合国家、行业相关质量标准</w:t>
                  </w:r>
                </w:p>
                <w:p>
                  <w:pPr>
                    <w:pStyle w:val="null3"/>
                    <w:jc w:val="center"/>
                  </w:pPr>
                  <w:r>
                    <w:rPr>
                      <w:rFonts w:ascii="仿宋_GB2312" w:hAnsi="仿宋_GB2312" w:cs="仿宋_GB2312" w:eastAsia="仿宋_GB2312"/>
                      <w:sz w:val="24"/>
                    </w:rPr>
                    <w:t>和卫生标准。</w:t>
                  </w:r>
                </w:p>
              </w:tc>
              <w:tc>
                <w:tcPr>
                  <w:tcW w:type="dxa" w:w="7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根据实际采购所需数量标准配送</w:t>
                  </w:r>
                </w:p>
              </w:tc>
            </w:tr>
          </w:tbl>
          <w:p>
            <w:pPr>
              <w:pStyle w:val="null3"/>
              <w:ind w:firstLine="480"/>
            </w:pPr>
            <w:r>
              <w:rPr>
                <w:rFonts w:ascii="仿宋_GB2312" w:hAnsi="仿宋_GB2312" w:cs="仿宋_GB2312" w:eastAsia="仿宋_GB2312"/>
                <w:sz w:val="24"/>
              </w:rPr>
              <w:t>成交供应商负责办理将货物或服务运抵采购人指定交货地点的一切事项，并完成所有相关工作。确保货物来源正规，凡包装、配送、装卸、退换货、售后服务、验收等，所有费用一次性计入</w:t>
            </w:r>
            <w:r>
              <w:rPr>
                <w:rFonts w:ascii="仿宋_GB2312" w:hAnsi="仿宋_GB2312" w:cs="仿宋_GB2312" w:eastAsia="仿宋_GB2312"/>
                <w:sz w:val="24"/>
              </w:rPr>
              <w:t>投标</w:t>
            </w:r>
            <w:r>
              <w:rPr>
                <w:rFonts w:ascii="仿宋_GB2312" w:hAnsi="仿宋_GB2312" w:cs="仿宋_GB2312" w:eastAsia="仿宋_GB2312"/>
                <w:sz w:val="24"/>
              </w:rPr>
              <w:t>报价。</w:t>
            </w:r>
          </w:p>
          <w:p>
            <w:pPr>
              <w:pStyle w:val="null3"/>
              <w:ind w:firstLine="480"/>
            </w:pPr>
            <w:r>
              <w:rPr>
                <w:rFonts w:ascii="仿宋_GB2312" w:hAnsi="仿宋_GB2312" w:cs="仿宋_GB2312" w:eastAsia="仿宋_GB2312"/>
                <w:sz w:val="24"/>
              </w:rPr>
              <w:t>供货期</w:t>
            </w:r>
            <w:r>
              <w:rPr>
                <w:rFonts w:ascii="仿宋_GB2312" w:hAnsi="仿宋_GB2312" w:cs="仿宋_GB2312" w:eastAsia="仿宋_GB2312"/>
                <w:sz w:val="24"/>
              </w:rPr>
              <w:t>内，成交供应商须负责有问题食品的退换等，确保食品安全。</w:t>
            </w:r>
          </w:p>
          <w:p>
            <w:pPr>
              <w:pStyle w:val="null3"/>
              <w:ind w:firstLine="482"/>
            </w:pPr>
            <w:r>
              <w:rPr>
                <w:rFonts w:ascii="仿宋_GB2312" w:hAnsi="仿宋_GB2312" w:cs="仿宋_GB2312" w:eastAsia="仿宋_GB2312"/>
                <w:sz w:val="24"/>
              </w:rPr>
              <w:t>成交供应商须提供货物或服务运至合同规定的最终目的地所需要的绿色包装和绿色运输，包装运输满足《关于印发〈商品包装政府采购需求标准</w:t>
            </w:r>
            <w:r>
              <w:rPr>
                <w:rFonts w:ascii="仿宋_GB2312" w:hAnsi="仿宋_GB2312" w:cs="仿宋_GB2312" w:eastAsia="仿宋_GB2312"/>
                <w:sz w:val="24"/>
              </w:rPr>
              <w:t>(试行)〉〈快递包装政府采购需求标准(试行)〉》(财办库〔2020〕123号)要求，以防止货物在运输中损坏或变质；包装运输应采取防潮、防晒、防腐蚀、防震动及防止其它损坏的必要保护措施，保护货物能够经受搬运、装卸及运输。成交供应商应承担由于其包装或防护措施不当而引起的货物变质、损坏和丢失等一切损失造成的责任或费用。</w:t>
            </w:r>
          </w:p>
          <w:p>
            <w:pPr>
              <w:pStyle w:val="null3"/>
              <w:ind w:firstLine="480"/>
            </w:pPr>
            <w:r>
              <w:rPr>
                <w:rFonts w:ascii="仿宋_GB2312" w:hAnsi="仿宋_GB2312" w:cs="仿宋_GB2312" w:eastAsia="仿宋_GB2312"/>
                <w:sz w:val="24"/>
              </w:rPr>
              <w:t>售后响应时间：接到采购人售后服务要求后，应当及时做出响应给出解决方案，并安排专人到达现场，及时解决问题。</w:t>
            </w:r>
          </w:p>
          <w:p>
            <w:pPr>
              <w:pStyle w:val="null3"/>
              <w:ind w:left="420"/>
              <w:jc w:val="both"/>
            </w:pPr>
            <w:r>
              <w:rPr>
                <w:rFonts w:ascii="仿宋_GB2312" w:hAnsi="仿宋_GB2312" w:cs="仿宋_GB2312" w:eastAsia="仿宋_GB2312"/>
                <w:sz w:val="28"/>
                <w:b/>
              </w:rPr>
              <w:t>三、技术要求</w:t>
            </w:r>
            <w:r>
              <w:rPr>
                <w:rFonts w:ascii="仿宋_GB2312" w:hAnsi="仿宋_GB2312" w:cs="仿宋_GB2312" w:eastAsia="仿宋_GB2312"/>
                <w:sz w:val="28"/>
                <w:b/>
              </w:rPr>
              <w:t>(如有,一般适合于技术服务项目)</w:t>
            </w:r>
          </w:p>
          <w:tbl>
            <w:tblPr>
              <w:tblInd w:type="dxa" w:w="105"/>
              <w:tblBorders>
                <w:top w:val="none" w:color="000000" w:sz="4"/>
                <w:left w:val="none" w:color="000000" w:sz="4"/>
                <w:bottom w:val="none" w:color="000000" w:sz="4"/>
                <w:right w:val="none" w:color="000000" w:sz="4"/>
                <w:insideH w:val="none"/>
                <w:insideV w:val="none"/>
              </w:tblBorders>
            </w:tblPr>
            <w:tblGrid>
              <w:gridCol w:w="195"/>
              <w:gridCol w:w="1196"/>
              <w:gridCol w:w="1161"/>
            </w:tblGrid>
            <w:tr>
              <w:tc>
                <w:tcPr>
                  <w:tcW w:type="dxa" w:w="1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供货品种</w:t>
                  </w:r>
                </w:p>
              </w:tc>
              <w:tc>
                <w:tcPr>
                  <w:tcW w:type="dxa" w:w="1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种类</w:t>
                  </w:r>
                </w:p>
              </w:tc>
              <w:tc>
                <w:tcPr>
                  <w:tcW w:type="dxa" w:w="11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技术参数要求</w:t>
                  </w:r>
                </w:p>
              </w:tc>
            </w:tr>
            <w:tr>
              <w:tc>
                <w:tcPr>
                  <w:tcW w:type="dxa" w:w="19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蔬菜类</w:t>
                  </w:r>
                </w:p>
              </w:tc>
              <w:tc>
                <w:tcPr>
                  <w:tcW w:type="dxa" w:w="119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青菜、菠菜、油麦菜、茼蒿、红萝卜、西红柿、土豆、花白、白菜、西葫芦、尖椒、线椒、芹菜、红大椒、西兰花、有机菜花、南瓜、红薯、生姜、大蒜、净笋、莲菜、平菇、香菇、杏鲍菇、小葱、香菜</w:t>
                  </w:r>
                  <w:r>
                    <w:rPr>
                      <w:rFonts w:ascii="仿宋_GB2312" w:hAnsi="仿宋_GB2312" w:cs="仿宋_GB2312" w:eastAsia="仿宋_GB2312"/>
                      <w:sz w:val="24"/>
                    </w:rPr>
                    <w:t>等</w:t>
                  </w: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①蔬菜必须新鲜，质量必须符合国家食品卫生管理规定；</w:t>
                  </w:r>
                </w:p>
              </w:tc>
            </w:tr>
            <w:tr>
              <w:tc>
                <w:tcPr>
                  <w:tcW w:type="dxa" w:w="195"/>
                  <w:vMerge/>
                  <w:tcBorders>
                    <w:top w:val="none" w:color="000000" w:sz="4"/>
                    <w:left w:val="single" w:color="000000" w:sz="4"/>
                    <w:bottom w:val="single" w:color="000000" w:sz="4"/>
                    <w:right w:val="single" w:color="000000" w:sz="4"/>
                  </w:tcBorders>
                </w:tcPr>
                <w:p/>
              </w:tc>
              <w:tc>
                <w:tcPr>
                  <w:tcW w:type="dxa" w:w="1196"/>
                  <w:vMerge/>
                  <w:tcBorders>
                    <w:top w:val="none" w:color="000000" w:sz="4"/>
                    <w:left w:val="single" w:color="000000" w:sz="4"/>
                    <w:bottom w:val="single" w:color="000000" w:sz="4"/>
                    <w:right w:val="single" w:color="000000" w:sz="4"/>
                  </w:tcBorders>
                </w:tcP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②农药残留不得超过《食品中农药最大残留限量》国家标准；</w:t>
                  </w:r>
                </w:p>
              </w:tc>
            </w:tr>
            <w:tr>
              <w:tc>
                <w:tcPr>
                  <w:tcW w:type="dxa" w:w="195"/>
                  <w:vMerge/>
                  <w:tcBorders>
                    <w:top w:val="none" w:color="000000" w:sz="4"/>
                    <w:left w:val="single" w:color="000000" w:sz="4"/>
                    <w:bottom w:val="single" w:color="000000" w:sz="4"/>
                    <w:right w:val="single" w:color="000000" w:sz="4"/>
                  </w:tcBorders>
                </w:tcPr>
                <w:p/>
              </w:tc>
              <w:tc>
                <w:tcPr>
                  <w:tcW w:type="dxa" w:w="1196"/>
                  <w:vMerge/>
                  <w:tcBorders>
                    <w:top w:val="none" w:color="000000" w:sz="4"/>
                    <w:left w:val="single" w:color="000000" w:sz="4"/>
                    <w:bottom w:val="single" w:color="000000" w:sz="4"/>
                    <w:right w:val="single" w:color="000000" w:sz="4"/>
                  </w:tcBorders>
                </w:tcP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③不得提供腐烂变质、黄叶、烂叶及带泥巴的蔬菜；</w:t>
                  </w:r>
                </w:p>
              </w:tc>
            </w:tr>
            <w:tr>
              <w:tc>
                <w:tcPr>
                  <w:tcW w:type="dxa" w:w="195"/>
                  <w:vMerge/>
                  <w:tcBorders>
                    <w:top w:val="none" w:color="000000" w:sz="4"/>
                    <w:left w:val="single" w:color="000000" w:sz="4"/>
                    <w:bottom w:val="single" w:color="000000" w:sz="4"/>
                    <w:right w:val="single" w:color="000000" w:sz="4"/>
                  </w:tcBorders>
                </w:tcPr>
                <w:p/>
              </w:tc>
              <w:tc>
                <w:tcPr>
                  <w:tcW w:type="dxa" w:w="1196"/>
                  <w:vMerge/>
                  <w:tcBorders>
                    <w:top w:val="none" w:color="000000" w:sz="4"/>
                    <w:left w:val="single" w:color="000000" w:sz="4"/>
                    <w:bottom w:val="single" w:color="000000" w:sz="4"/>
                    <w:right w:val="single" w:color="000000" w:sz="4"/>
                  </w:tcBorders>
                </w:tcP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④蔬菜外表不得人为喷洒水分和有过多的虫孔；</w:t>
                  </w:r>
                </w:p>
              </w:tc>
            </w:tr>
            <w:tr>
              <w:tc>
                <w:tcPr>
                  <w:tcW w:type="dxa" w:w="195"/>
                  <w:vMerge/>
                  <w:tcBorders>
                    <w:top w:val="none" w:color="000000" w:sz="4"/>
                    <w:left w:val="single" w:color="000000" w:sz="4"/>
                    <w:bottom w:val="single" w:color="000000" w:sz="4"/>
                    <w:right w:val="single" w:color="000000" w:sz="4"/>
                  </w:tcBorders>
                </w:tcPr>
                <w:p/>
              </w:tc>
              <w:tc>
                <w:tcPr>
                  <w:tcW w:type="dxa" w:w="1196"/>
                  <w:vMerge/>
                  <w:tcBorders>
                    <w:top w:val="none" w:color="000000" w:sz="4"/>
                    <w:left w:val="single" w:color="000000" w:sz="4"/>
                    <w:bottom w:val="single" w:color="000000" w:sz="4"/>
                    <w:right w:val="single" w:color="000000" w:sz="4"/>
                  </w:tcBorders>
                </w:tcP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⑤不得提供过长的菜头和菜根。</w:t>
                  </w:r>
                </w:p>
              </w:tc>
            </w:tr>
            <w:tr>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肉类</w:t>
                  </w:r>
                </w:p>
              </w:tc>
              <w:tc>
                <w:tcPr>
                  <w:tcW w:type="dxa" w:w="1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大肉、牛肉等</w:t>
                  </w: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肉身必须盖有卫生检疫章，须出具加盖国家或地方政府监督所检疫章的动物检疫证明。肉品须表皮洁净、膘厚适中、色泽鲜亮、纹理清晰、肉质细腻、无异味、去骨、无毛、按压无水迹。</w:t>
                  </w:r>
                </w:p>
              </w:tc>
            </w:tr>
            <w:tr>
              <w:tc>
                <w:tcPr>
                  <w:tcW w:type="dxa" w:w="19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冷冻食品</w:t>
                  </w:r>
                </w:p>
              </w:tc>
              <w:tc>
                <w:tcPr>
                  <w:tcW w:type="dxa" w:w="119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鸡小腿、鸡胸肉等</w:t>
                  </w: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①符合国家食品卫生管理规定；</w:t>
                  </w:r>
                </w:p>
              </w:tc>
            </w:tr>
            <w:tr>
              <w:tc>
                <w:tcPr>
                  <w:tcW w:type="dxa" w:w="195"/>
                  <w:vMerge/>
                  <w:tcBorders>
                    <w:top w:val="none" w:color="000000" w:sz="4"/>
                    <w:left w:val="single" w:color="000000" w:sz="4"/>
                    <w:bottom w:val="single" w:color="000000" w:sz="4"/>
                    <w:right w:val="single" w:color="000000" w:sz="4"/>
                  </w:tcBorders>
                </w:tcPr>
                <w:p/>
              </w:tc>
              <w:tc>
                <w:tcPr>
                  <w:tcW w:type="dxa" w:w="1196"/>
                  <w:vMerge/>
                  <w:tcBorders>
                    <w:top w:val="none" w:color="000000" w:sz="4"/>
                    <w:left w:val="single" w:color="000000" w:sz="4"/>
                    <w:bottom w:val="single" w:color="000000" w:sz="4"/>
                    <w:right w:val="single" w:color="000000" w:sz="4"/>
                  </w:tcBorders>
                </w:tcP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②符合食品卫生相关标准及法规要求。</w:t>
                  </w:r>
                </w:p>
              </w:tc>
            </w:tr>
            <w:tr>
              <w:tc>
                <w:tcPr>
                  <w:tcW w:type="dxa" w:w="19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豆制品</w:t>
                  </w:r>
                </w:p>
              </w:tc>
              <w:tc>
                <w:tcPr>
                  <w:tcW w:type="dxa" w:w="119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老豆腐、嫩豆腐、豆腐干、豆腐皮、豆芽等</w:t>
                  </w: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①符合国家食品卫生管理规定；</w:t>
                  </w:r>
                </w:p>
              </w:tc>
            </w:tr>
            <w:tr>
              <w:tc>
                <w:tcPr>
                  <w:tcW w:type="dxa" w:w="195"/>
                  <w:vMerge/>
                  <w:tcBorders>
                    <w:top w:val="none" w:color="000000" w:sz="4"/>
                    <w:left w:val="single" w:color="000000" w:sz="4"/>
                    <w:bottom w:val="single" w:color="000000" w:sz="4"/>
                    <w:right w:val="single" w:color="000000" w:sz="4"/>
                  </w:tcBorders>
                </w:tcPr>
                <w:p/>
              </w:tc>
              <w:tc>
                <w:tcPr>
                  <w:tcW w:type="dxa" w:w="1196"/>
                  <w:vMerge/>
                  <w:tcBorders>
                    <w:top w:val="none" w:color="000000" w:sz="4"/>
                    <w:left w:val="single" w:color="000000" w:sz="4"/>
                    <w:bottom w:val="single" w:color="000000" w:sz="4"/>
                    <w:right w:val="single" w:color="000000" w:sz="4"/>
                  </w:tcBorders>
                </w:tcP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②符合食品卫生相关标准及法规要求。</w:t>
                  </w:r>
                </w:p>
              </w:tc>
            </w:tr>
            <w:tr>
              <w:tc>
                <w:tcPr>
                  <w:tcW w:type="dxa" w:w="19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禽蛋类</w:t>
                  </w:r>
                </w:p>
              </w:tc>
              <w:tc>
                <w:tcPr>
                  <w:tcW w:type="dxa" w:w="119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鸡蛋等</w:t>
                  </w: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①符合国家食品卫生管理规定；</w:t>
                  </w:r>
                </w:p>
              </w:tc>
            </w:tr>
            <w:tr>
              <w:tc>
                <w:tcPr>
                  <w:tcW w:type="dxa" w:w="195"/>
                  <w:vMerge/>
                  <w:tcBorders>
                    <w:top w:val="none" w:color="000000" w:sz="4"/>
                    <w:left w:val="single" w:color="000000" w:sz="4"/>
                    <w:bottom w:val="single" w:color="000000" w:sz="4"/>
                    <w:right w:val="single" w:color="000000" w:sz="4"/>
                  </w:tcBorders>
                </w:tcPr>
                <w:p/>
              </w:tc>
              <w:tc>
                <w:tcPr>
                  <w:tcW w:type="dxa" w:w="1196"/>
                  <w:vMerge/>
                  <w:tcBorders>
                    <w:top w:val="none" w:color="000000" w:sz="4"/>
                    <w:left w:val="single" w:color="000000" w:sz="4"/>
                    <w:bottom w:val="single" w:color="000000" w:sz="4"/>
                    <w:right w:val="single" w:color="000000" w:sz="4"/>
                  </w:tcBorders>
                </w:tcP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②符合食品卫生相关标准及法规要求。</w:t>
                  </w:r>
                </w:p>
              </w:tc>
            </w:tr>
            <w:tr>
              <w:tc>
                <w:tcPr>
                  <w:tcW w:type="dxa" w:w="19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干菜、调料类</w:t>
                  </w:r>
                </w:p>
              </w:tc>
              <w:tc>
                <w:tcPr>
                  <w:tcW w:type="dxa" w:w="119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鸡精、味精、耗油、辣椒面、胡椒粉、调味粉、花椒、香油、香醋、盐、酱油、粉条、粉丝、腐竹等</w:t>
                  </w: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①所有的调料干菜必须符合国家卫生标准和质量要求；</w:t>
                  </w:r>
                </w:p>
              </w:tc>
            </w:tr>
            <w:tr>
              <w:tc>
                <w:tcPr>
                  <w:tcW w:type="dxa" w:w="195"/>
                  <w:vMerge/>
                  <w:tcBorders>
                    <w:top w:val="none" w:color="000000" w:sz="4"/>
                    <w:left w:val="single" w:color="000000" w:sz="4"/>
                    <w:bottom w:val="single" w:color="000000" w:sz="4"/>
                    <w:right w:val="single" w:color="000000" w:sz="4"/>
                  </w:tcBorders>
                </w:tcPr>
                <w:p/>
              </w:tc>
              <w:tc>
                <w:tcPr>
                  <w:tcW w:type="dxa" w:w="1196"/>
                  <w:vMerge/>
                  <w:tcBorders>
                    <w:top w:val="none" w:color="000000" w:sz="4"/>
                    <w:left w:val="single" w:color="000000" w:sz="4"/>
                    <w:bottom w:val="single" w:color="000000" w:sz="4"/>
                    <w:right w:val="single" w:color="000000" w:sz="4"/>
                  </w:tcBorders>
                </w:tcP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②糖、味精、酱油、醋、豆制品、生粉等</w:t>
                  </w:r>
                </w:p>
              </w:tc>
            </w:tr>
            <w:tr>
              <w:tc>
                <w:tcPr>
                  <w:tcW w:type="dxa" w:w="195"/>
                  <w:vMerge/>
                  <w:tcBorders>
                    <w:top w:val="none" w:color="000000" w:sz="4"/>
                    <w:left w:val="single" w:color="000000" w:sz="4"/>
                    <w:bottom w:val="single" w:color="000000" w:sz="4"/>
                    <w:right w:val="single" w:color="000000" w:sz="4"/>
                  </w:tcBorders>
                </w:tcPr>
                <w:p/>
              </w:tc>
              <w:tc>
                <w:tcPr>
                  <w:tcW w:type="dxa" w:w="1196"/>
                  <w:vMerge/>
                  <w:tcBorders>
                    <w:top w:val="none" w:color="000000" w:sz="4"/>
                    <w:left w:val="single" w:color="000000" w:sz="4"/>
                    <w:bottom w:val="single" w:color="000000" w:sz="4"/>
                    <w:right w:val="single" w:color="000000" w:sz="4"/>
                  </w:tcBorders>
                </w:tcP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③无过期食品和邻近保质期食品；</w:t>
                  </w:r>
                </w:p>
              </w:tc>
            </w:tr>
            <w:tr>
              <w:tc>
                <w:tcPr>
                  <w:tcW w:type="dxa" w:w="195"/>
                  <w:vMerge/>
                  <w:tcBorders>
                    <w:top w:val="none" w:color="000000" w:sz="4"/>
                    <w:left w:val="single" w:color="000000" w:sz="4"/>
                    <w:bottom w:val="single" w:color="000000" w:sz="4"/>
                    <w:right w:val="single" w:color="000000" w:sz="4"/>
                  </w:tcBorders>
                </w:tcPr>
                <w:p/>
              </w:tc>
              <w:tc>
                <w:tcPr>
                  <w:tcW w:type="dxa" w:w="1196"/>
                  <w:vMerge/>
                  <w:tcBorders>
                    <w:top w:val="none" w:color="000000" w:sz="4"/>
                    <w:left w:val="single" w:color="000000" w:sz="4"/>
                    <w:bottom w:val="single" w:color="000000" w:sz="4"/>
                    <w:right w:val="single" w:color="000000" w:sz="4"/>
                  </w:tcBorders>
                </w:tcP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④不含有转基因原材料。</w:t>
                  </w:r>
                </w:p>
              </w:tc>
            </w:tr>
            <w:tr>
              <w:tc>
                <w:tcPr>
                  <w:tcW w:type="dxa" w:w="19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粮油</w:t>
                  </w:r>
                </w:p>
              </w:tc>
              <w:tc>
                <w:tcPr>
                  <w:tcW w:type="dxa" w:w="119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面粉、大豆油、菜籽油、小米、玉米榛子、江米、花生米、红小豆、麦仁、玉米面、黑米、粉面、生粉等</w:t>
                  </w: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①符合国家食品卫生管理规定；</w:t>
                  </w:r>
                </w:p>
              </w:tc>
            </w:tr>
            <w:tr>
              <w:tc>
                <w:tcPr>
                  <w:tcW w:type="dxa" w:w="195"/>
                  <w:vMerge/>
                  <w:tcBorders>
                    <w:top w:val="none" w:color="000000" w:sz="4"/>
                    <w:left w:val="single" w:color="000000" w:sz="4"/>
                    <w:bottom w:val="single" w:color="000000" w:sz="4"/>
                    <w:right w:val="single" w:color="000000" w:sz="4"/>
                  </w:tcBorders>
                </w:tcPr>
                <w:p/>
              </w:tc>
              <w:tc>
                <w:tcPr>
                  <w:tcW w:type="dxa" w:w="1196"/>
                  <w:vMerge/>
                  <w:tcBorders>
                    <w:top w:val="none" w:color="000000" w:sz="4"/>
                    <w:left w:val="single" w:color="000000" w:sz="4"/>
                    <w:bottom w:val="single" w:color="000000" w:sz="4"/>
                    <w:right w:val="single" w:color="000000" w:sz="4"/>
                  </w:tcBorders>
                </w:tcP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②符合食品卫生相关标准及法规要求。</w:t>
                  </w:r>
                </w:p>
              </w:tc>
            </w:tr>
            <w:tr>
              <w:tc>
                <w:tcPr>
                  <w:tcW w:type="dxa" w:w="19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日杂</w:t>
                  </w:r>
                </w:p>
              </w:tc>
              <w:tc>
                <w:tcPr>
                  <w:tcW w:type="dxa" w:w="119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一次性碗筷、钢丝球、铁锅、水龙头、食品袋、一次性口罩等</w:t>
                  </w: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①符合国家食品卫生管理规定；</w:t>
                  </w:r>
                </w:p>
              </w:tc>
            </w:tr>
            <w:tr>
              <w:tc>
                <w:tcPr>
                  <w:tcW w:type="dxa" w:w="195"/>
                  <w:vMerge/>
                  <w:tcBorders>
                    <w:top w:val="none" w:color="000000" w:sz="4"/>
                    <w:left w:val="single" w:color="000000" w:sz="4"/>
                    <w:bottom w:val="single" w:color="000000" w:sz="4"/>
                    <w:right w:val="single" w:color="000000" w:sz="4"/>
                  </w:tcBorders>
                </w:tcPr>
                <w:p/>
              </w:tc>
              <w:tc>
                <w:tcPr>
                  <w:tcW w:type="dxa" w:w="1196"/>
                  <w:vMerge/>
                  <w:tcBorders>
                    <w:top w:val="none" w:color="000000" w:sz="4"/>
                    <w:left w:val="single" w:color="000000" w:sz="4"/>
                    <w:bottom w:val="single" w:color="000000" w:sz="4"/>
                    <w:right w:val="single" w:color="000000" w:sz="4"/>
                  </w:tcBorders>
                </w:tcP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②</w:t>
                  </w:r>
                  <w:r>
                    <w:rPr>
                      <w:rFonts w:ascii="仿宋_GB2312" w:hAnsi="仿宋_GB2312" w:cs="仿宋_GB2312" w:eastAsia="仿宋_GB2312"/>
                      <w:sz w:val="24"/>
                    </w:rPr>
                    <w:t>符合国家、行业相关质量标准和卫生标准。</w:t>
                  </w:r>
                </w:p>
              </w:tc>
            </w:tr>
            <w:tr>
              <w:tc>
                <w:tcPr>
                  <w:tcW w:type="dxa" w:w="19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水果类</w:t>
                  </w:r>
                </w:p>
              </w:tc>
              <w:tc>
                <w:tcPr>
                  <w:tcW w:type="dxa" w:w="119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苹果、梨、桃、香蕉、橙子、樱桃、葡萄、哈密瓜、西瓜、乳瓜、杏、李等</w:t>
                  </w: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①水果为新鲜水果，质量必须符合国家食品卫生管理规定；</w:t>
                  </w:r>
                </w:p>
              </w:tc>
            </w:tr>
            <w:tr>
              <w:tc>
                <w:tcPr>
                  <w:tcW w:type="dxa" w:w="195"/>
                  <w:vMerge/>
                  <w:tcBorders>
                    <w:top w:val="none" w:color="000000" w:sz="4"/>
                    <w:left w:val="single" w:color="000000" w:sz="4"/>
                    <w:bottom w:val="single" w:color="000000" w:sz="4"/>
                    <w:right w:val="single" w:color="000000" w:sz="4"/>
                  </w:tcBorders>
                </w:tcPr>
                <w:p/>
              </w:tc>
              <w:tc>
                <w:tcPr>
                  <w:tcW w:type="dxa" w:w="1196"/>
                  <w:vMerge/>
                  <w:tcBorders>
                    <w:top w:val="none" w:color="000000" w:sz="4"/>
                    <w:left w:val="single" w:color="000000" w:sz="4"/>
                    <w:bottom w:val="single" w:color="000000" w:sz="4"/>
                    <w:right w:val="single" w:color="000000" w:sz="4"/>
                  </w:tcBorders>
                </w:tcP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②农药残留不得超过《食品安全国家标准食品中农药最大残留限量》；</w:t>
                  </w:r>
                </w:p>
              </w:tc>
            </w:tr>
            <w:tr>
              <w:tc>
                <w:tcPr>
                  <w:tcW w:type="dxa" w:w="195"/>
                  <w:vMerge/>
                  <w:tcBorders>
                    <w:top w:val="none" w:color="000000" w:sz="4"/>
                    <w:left w:val="single" w:color="000000" w:sz="4"/>
                    <w:bottom w:val="single" w:color="000000" w:sz="4"/>
                    <w:right w:val="single" w:color="000000" w:sz="4"/>
                  </w:tcBorders>
                </w:tcPr>
                <w:p/>
              </w:tc>
              <w:tc>
                <w:tcPr>
                  <w:tcW w:type="dxa" w:w="1196"/>
                  <w:vMerge/>
                  <w:tcBorders>
                    <w:top w:val="none" w:color="000000" w:sz="4"/>
                    <w:left w:val="single" w:color="000000" w:sz="4"/>
                    <w:bottom w:val="single" w:color="000000" w:sz="4"/>
                    <w:right w:val="single" w:color="000000" w:sz="4"/>
                  </w:tcBorders>
                </w:tcP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③果形端正，大小均匀，无畸形果，带果柄，果实无萎焉；</w:t>
                  </w:r>
                </w:p>
              </w:tc>
            </w:tr>
            <w:tr>
              <w:tc>
                <w:tcPr>
                  <w:tcW w:type="dxa" w:w="195"/>
                  <w:vMerge/>
                  <w:tcBorders>
                    <w:top w:val="none" w:color="000000" w:sz="4"/>
                    <w:left w:val="single" w:color="000000" w:sz="4"/>
                    <w:bottom w:val="single" w:color="000000" w:sz="4"/>
                    <w:right w:val="single" w:color="000000" w:sz="4"/>
                  </w:tcBorders>
                </w:tcPr>
                <w:p/>
              </w:tc>
              <w:tc>
                <w:tcPr>
                  <w:tcW w:type="dxa" w:w="1196"/>
                  <w:vMerge/>
                  <w:tcBorders>
                    <w:top w:val="none" w:color="000000" w:sz="4"/>
                    <w:left w:val="single" w:color="000000" w:sz="4"/>
                    <w:bottom w:val="single" w:color="000000" w:sz="4"/>
                    <w:right w:val="single" w:color="000000" w:sz="4"/>
                  </w:tcBorders>
                </w:tcP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④果面新鲜洁净，无刺划伤，无压痕，无病虫害，无病斑，无腐烂；</w:t>
                  </w:r>
                </w:p>
              </w:tc>
            </w:tr>
            <w:tr>
              <w:tc>
                <w:tcPr>
                  <w:tcW w:type="dxa" w:w="195"/>
                  <w:vMerge/>
                  <w:tcBorders>
                    <w:top w:val="none" w:color="000000" w:sz="4"/>
                    <w:left w:val="single" w:color="000000" w:sz="4"/>
                    <w:bottom w:val="single" w:color="000000" w:sz="4"/>
                    <w:right w:val="single" w:color="000000" w:sz="4"/>
                  </w:tcBorders>
                </w:tcPr>
                <w:p/>
              </w:tc>
              <w:tc>
                <w:tcPr>
                  <w:tcW w:type="dxa" w:w="1196"/>
                  <w:vMerge/>
                  <w:tcBorders>
                    <w:top w:val="none" w:color="000000" w:sz="4"/>
                    <w:left w:val="single" w:color="000000" w:sz="4"/>
                    <w:bottom w:val="single" w:color="000000" w:sz="4"/>
                    <w:right w:val="single" w:color="000000" w:sz="4"/>
                  </w:tcBorders>
                </w:tcP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⑤口感正常，具有水果特有的风味。</w:t>
                  </w:r>
                </w:p>
              </w:tc>
            </w:tr>
            <w:tr>
              <w:tc>
                <w:tcPr>
                  <w:tcW w:type="dxa" w:w="19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水产类</w:t>
                  </w:r>
                </w:p>
              </w:tc>
              <w:tc>
                <w:tcPr>
                  <w:tcW w:type="dxa" w:w="119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黄花鱼、青虾、带鱼、草鱼、鲤鱼、鱿鱼、鲅鱼、冰虾、鲫鱼、花盖蟹</w:t>
                  </w:r>
                  <w:r>
                    <w:rPr>
                      <w:rFonts w:ascii="仿宋_GB2312" w:hAnsi="仿宋_GB2312" w:cs="仿宋_GB2312" w:eastAsia="仿宋_GB2312"/>
                      <w:sz w:val="24"/>
                    </w:rPr>
                    <w:t>(成蟹)等。</w:t>
                  </w: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①符合国家食品卫生管理规定；</w:t>
                  </w:r>
                </w:p>
              </w:tc>
            </w:tr>
            <w:tr>
              <w:tc>
                <w:tcPr>
                  <w:tcW w:type="dxa" w:w="195"/>
                  <w:vMerge/>
                  <w:tcBorders>
                    <w:top w:val="none" w:color="000000" w:sz="4"/>
                    <w:left w:val="single" w:color="000000" w:sz="4"/>
                    <w:bottom w:val="single" w:color="000000" w:sz="4"/>
                    <w:right w:val="single" w:color="000000" w:sz="4"/>
                  </w:tcBorders>
                </w:tcPr>
                <w:p/>
              </w:tc>
              <w:tc>
                <w:tcPr>
                  <w:tcW w:type="dxa" w:w="1196"/>
                  <w:vMerge/>
                  <w:tcBorders>
                    <w:top w:val="none" w:color="000000" w:sz="4"/>
                    <w:left w:val="single" w:color="000000" w:sz="4"/>
                    <w:bottom w:val="single" w:color="000000" w:sz="4"/>
                    <w:right w:val="single" w:color="000000" w:sz="4"/>
                  </w:tcBorders>
                </w:tcP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②淡水鱼、虾、贝类必须鲜活，且符合食品卫生相关标准及法规要求。</w:t>
                  </w:r>
                </w:p>
              </w:tc>
            </w:tr>
            <w:tr>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餐具类</w:t>
                  </w:r>
                </w:p>
              </w:tc>
              <w:tc>
                <w:tcPr>
                  <w:tcW w:type="dxa" w:w="1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餐盘、碗、勺、筷、汤碗、水杯、密胺</w:t>
                  </w:r>
                  <w:r>
                    <w:rPr>
                      <w:rFonts w:ascii="仿宋_GB2312" w:hAnsi="仿宋_GB2312" w:cs="仿宋_GB2312" w:eastAsia="仿宋_GB2312"/>
                      <w:sz w:val="24"/>
                    </w:rPr>
                    <w:t>/不锈钢餐具、一次性餐具</w:t>
                  </w:r>
                  <w:r>
                    <w:rPr>
                      <w:rFonts w:ascii="仿宋_GB2312" w:hAnsi="仿宋_GB2312" w:cs="仿宋_GB2312" w:eastAsia="仿宋_GB2312"/>
                      <w:sz w:val="24"/>
                    </w:rPr>
                    <w:t>、</w:t>
                  </w:r>
                  <w:r>
                    <w:rPr>
                      <w:rFonts w:ascii="仿宋_GB2312" w:hAnsi="仿宋_GB2312" w:cs="仿宋_GB2312" w:eastAsia="仿宋_GB2312"/>
                      <w:sz w:val="24"/>
                    </w:rPr>
                    <w:t>灶具</w:t>
                  </w:r>
                  <w:r>
                    <w:rPr>
                      <w:rFonts w:ascii="仿宋_GB2312" w:hAnsi="仿宋_GB2312" w:cs="仿宋_GB2312" w:eastAsia="仿宋_GB2312"/>
                      <w:sz w:val="24"/>
                    </w:rPr>
                    <w:t>等</w:t>
                  </w: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①</w:t>
                  </w:r>
                  <w:r>
                    <w:rPr>
                      <w:rFonts w:ascii="仿宋_GB2312" w:hAnsi="仿宋_GB2312" w:cs="仿宋_GB2312" w:eastAsia="仿宋_GB2312"/>
                      <w:sz w:val="24"/>
                    </w:rPr>
                    <w:t>干净、无破损、无油污、食品接触级，密封防潮包装；</w:t>
                  </w:r>
                </w:p>
                <w:p>
                  <w:pPr>
                    <w:pStyle w:val="null3"/>
                  </w:pPr>
                  <w:r>
                    <w:rPr>
                      <w:rFonts w:ascii="仿宋_GB2312" w:hAnsi="仿宋_GB2312" w:cs="仿宋_GB2312" w:eastAsia="仿宋_GB2312"/>
                      <w:sz w:val="24"/>
                    </w:rPr>
                    <w:t>②</w:t>
                  </w:r>
                  <w:r>
                    <w:rPr>
                      <w:rFonts w:ascii="仿宋_GB2312" w:hAnsi="仿宋_GB2312" w:cs="仿宋_GB2312" w:eastAsia="仿宋_GB2312"/>
                      <w:sz w:val="24"/>
                    </w:rPr>
                    <w:t>食材与餐具</w:t>
                  </w:r>
                  <w:r>
                    <w:rPr>
                      <w:rFonts w:ascii="仿宋_GB2312" w:hAnsi="仿宋_GB2312" w:cs="仿宋_GB2312" w:eastAsia="仿宋_GB2312"/>
                      <w:sz w:val="24"/>
                    </w:rPr>
                    <w:t>分区装载、隔离摆放、严禁混叠污染；</w:t>
                  </w:r>
                </w:p>
              </w:tc>
            </w:tr>
          </w:tbl>
          <w:p>
            <w:pPr>
              <w:pStyle w:val="null3"/>
              <w:spacing w:after="120"/>
              <w:jc w:val="both"/>
            </w:pPr>
            <w:r>
              <w:rPr>
                <w:rFonts w:ascii="仿宋_GB2312" w:hAnsi="仿宋_GB2312" w:cs="仿宋_GB2312" w:eastAsia="仿宋_GB2312"/>
                <w:sz w:val="28"/>
                <w:b/>
              </w:rPr>
              <w:t>四、服务要求</w:t>
            </w:r>
            <w:r>
              <w:rPr>
                <w:rFonts w:ascii="仿宋_GB2312" w:hAnsi="仿宋_GB2312" w:cs="仿宋_GB2312" w:eastAsia="仿宋_GB2312"/>
                <w:sz w:val="28"/>
                <w:b/>
              </w:rPr>
              <w:t>(如对人员配置、专业设备、服务标准等)</w:t>
            </w:r>
          </w:p>
          <w:p>
            <w:pPr>
              <w:pStyle w:val="null3"/>
              <w:spacing w:after="120"/>
              <w:jc w:val="both"/>
            </w:pPr>
            <w:r>
              <w:rPr>
                <w:rFonts w:ascii="仿宋_GB2312" w:hAnsi="仿宋_GB2312" w:cs="仿宋_GB2312" w:eastAsia="仿宋_GB2312"/>
                <w:sz w:val="24"/>
              </w:rPr>
              <w:t>（一）配送时间、地点与方式：</w:t>
            </w:r>
          </w:p>
          <w:p>
            <w:pPr>
              <w:pStyle w:val="null3"/>
              <w:ind w:firstLine="480"/>
              <w:jc w:val="both"/>
            </w:pPr>
            <w:r>
              <w:rPr>
                <w:rFonts w:ascii="仿宋_GB2312" w:hAnsi="仿宋_GB2312" w:cs="仿宋_GB2312" w:eastAsia="仿宋_GB2312"/>
                <w:sz w:val="24"/>
              </w:rPr>
              <w:t>1.配送时间：</w:t>
            </w:r>
            <w:r>
              <w:rPr>
                <w:rFonts w:ascii="仿宋_GB2312" w:hAnsi="仿宋_GB2312" w:cs="仿宋_GB2312" w:eastAsia="仿宋_GB2312"/>
                <w:sz w:val="24"/>
              </w:rPr>
              <w:t>甲方每天下午</w:t>
            </w:r>
            <w:r>
              <w:rPr>
                <w:rFonts w:ascii="仿宋_GB2312" w:hAnsi="仿宋_GB2312" w:cs="仿宋_GB2312" w:eastAsia="仿宋_GB2312"/>
                <w:sz w:val="24"/>
              </w:rPr>
              <w:t>20:00前向乙方下达第二天的订单，</w:t>
            </w:r>
            <w:r>
              <w:rPr>
                <w:rFonts w:ascii="仿宋_GB2312" w:hAnsi="仿宋_GB2312" w:cs="仿宋_GB2312" w:eastAsia="仿宋_GB2312"/>
                <w:sz w:val="24"/>
              </w:rPr>
              <w:t>乙方</w:t>
            </w:r>
            <w:r>
              <w:rPr>
                <w:rFonts w:ascii="仿宋_GB2312" w:hAnsi="仿宋_GB2312" w:cs="仿宋_GB2312" w:eastAsia="仿宋_GB2312"/>
                <w:sz w:val="24"/>
              </w:rPr>
              <w:t>次日</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0</w:t>
            </w:r>
            <w:r>
              <w:rPr>
                <w:rFonts w:ascii="仿宋_GB2312" w:hAnsi="仿宋_GB2312" w:cs="仿宋_GB2312" w:eastAsia="仿宋_GB2312"/>
                <w:sz w:val="24"/>
              </w:rPr>
              <w:t>0前送达。</w:t>
            </w:r>
          </w:p>
          <w:p>
            <w:pPr>
              <w:pStyle w:val="null3"/>
              <w:ind w:firstLine="480"/>
            </w:pPr>
            <w:r>
              <w:rPr>
                <w:rFonts w:ascii="仿宋_GB2312" w:hAnsi="仿宋_GB2312" w:cs="仿宋_GB2312" w:eastAsia="仿宋_GB2312"/>
                <w:sz w:val="24"/>
              </w:rPr>
              <w:t>2.应急性配送：接到采购人临时性的食品采购订单通知后，应在1小时内送达指定区域。</w:t>
            </w:r>
          </w:p>
          <w:p>
            <w:pPr>
              <w:pStyle w:val="null3"/>
              <w:ind w:firstLine="480"/>
            </w:pPr>
            <w:r>
              <w:rPr>
                <w:rFonts w:ascii="仿宋_GB2312" w:hAnsi="仿宋_GB2312" w:cs="仿宋_GB2312" w:eastAsia="仿宋_GB2312"/>
                <w:sz w:val="24"/>
              </w:rPr>
              <w:t>3.配送地点：采购人指定地点。</w:t>
            </w:r>
          </w:p>
          <w:p>
            <w:pPr>
              <w:pStyle w:val="null3"/>
              <w:ind w:firstLine="480"/>
            </w:pPr>
            <w:r>
              <w:rPr>
                <w:rFonts w:ascii="仿宋_GB2312" w:hAnsi="仿宋_GB2312" w:cs="仿宋_GB2312" w:eastAsia="仿宋_GB2312"/>
                <w:sz w:val="24"/>
              </w:rPr>
              <w:t>4.配送方式：运输应当使用符合食品安全要求的专用车辆，不得与其他物资混装混运；严格按照冷链运输要求运输，运输途中严防日晒、雨淋，注意通风散热；装卸过程严防机械损伤。运抵后，由供应商负责将货物搬运至库房。配送食品车辆须定期进行消毒。</w:t>
            </w:r>
          </w:p>
          <w:p>
            <w:pPr>
              <w:pStyle w:val="null3"/>
              <w:ind w:firstLine="480"/>
            </w:pPr>
            <w:r>
              <w:rPr>
                <w:rFonts w:ascii="仿宋_GB2312" w:hAnsi="仿宋_GB2312" w:cs="仿宋_GB2312" w:eastAsia="仿宋_GB2312"/>
                <w:sz w:val="24"/>
              </w:rPr>
              <w:t>5.配送费用：送货过程中产生的所有费用由供应商承担。</w:t>
            </w:r>
          </w:p>
          <w:p>
            <w:pPr>
              <w:pStyle w:val="null3"/>
            </w:pPr>
            <w:r>
              <w:rPr>
                <w:rFonts w:ascii="仿宋_GB2312" w:hAnsi="仿宋_GB2312" w:cs="仿宋_GB2312" w:eastAsia="仿宋_GB2312"/>
                <w:sz w:val="24"/>
              </w:rPr>
              <w:t>（二）供货要求：</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.供货数量要求：货物重量若有标准件按标准件抽样称重（净重），并按抽样重量计算，没有标准件按实际过磅重量计算（净重）。</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供应商接到采购人订单后，个别种类因缺货而无法提供的，应在接到订单30分钟内及时告知采购人，并协商好解决方法。特殊情况（如连续降雨、降雪、冰冻等）将视不同情形调整供货存量，以配送通知为准（包括电话通知、短信通知、微信通知等）。</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.若遇特殊情况，供应商能按采购人要求及时补货，应在1小时内送达。</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.未经过采购人同意提前或推迟送货，采购人有权拒绝验收签单。</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.规格包装的产品交付时，必须原包装完好无破损，否则采购人有权拒收。</w:t>
            </w:r>
          </w:p>
          <w:p>
            <w:pPr>
              <w:pStyle w:val="null3"/>
              <w:ind w:firstLine="480"/>
            </w:pPr>
            <w:r>
              <w:rPr>
                <w:rFonts w:ascii="仿宋_GB2312" w:hAnsi="仿宋_GB2312" w:cs="仿宋_GB2312" w:eastAsia="仿宋_GB2312"/>
                <w:sz w:val="24"/>
              </w:rPr>
              <w:t>6</w:t>
            </w:r>
            <w:r>
              <w:rPr>
                <w:rFonts w:ascii="仿宋_GB2312" w:hAnsi="仿宋_GB2312" w:cs="仿宋_GB2312" w:eastAsia="仿宋_GB2312"/>
                <w:sz w:val="24"/>
              </w:rPr>
              <w:t>.供货质量要求：供应商必须按要求提供货物必要品种的检疫检测报告、蔬菜农药残留化验单等证明材料。采购人有权对不符合质量要求、以次充好的食品货物予以退货或要求换货，供应商必须无条件退换并及时予以补货，我单位将视情节做出处罚决定。</w:t>
            </w:r>
          </w:p>
          <w:p>
            <w:pPr>
              <w:pStyle w:val="null3"/>
              <w:ind w:firstLine="480"/>
            </w:pPr>
            <w:r>
              <w:rPr>
                <w:rFonts w:ascii="仿宋_GB2312" w:hAnsi="仿宋_GB2312" w:cs="仿宋_GB2312" w:eastAsia="仿宋_GB2312"/>
                <w:sz w:val="24"/>
              </w:rPr>
              <w:t>7</w:t>
            </w:r>
            <w:r>
              <w:rPr>
                <w:rFonts w:ascii="仿宋_GB2312" w:hAnsi="仿宋_GB2312" w:cs="仿宋_GB2312" w:eastAsia="仿宋_GB2312"/>
                <w:sz w:val="24"/>
              </w:rPr>
              <w:t>.为保证食品安全，对所有产品的质量要求为优质产品，供应商不得提供下列食品：</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1）腐败变质、油脂酸败、霉变、生虫、污秽不洁、混有异物或者其他感官性状异常，对人体健康有害的；</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2）含有毒、有害物质或者被有害物质污染，对人体健康有害的；</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3）含有致病性寄生虫、微生物或者微生物含量超过国家限定标准的；</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4）未经动物检疫部门检疫、检验或者检疫、检验不合格的肉类及其制品</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5）病死、毒死或者死因不明的禽、畜、兽、水产等及其制品；</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6）掺假、掺杂、伪造，影响营养、卫生的；</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7）用非食品原料加工的，加入非食品用化学物质或者将非食品当作食品的；</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8）超过保质期限的；</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9）法律、法规、规章、规范性文件以及相关规定限制和禁止进入市场流通的食品。</w:t>
            </w:r>
          </w:p>
          <w:p>
            <w:pPr>
              <w:pStyle w:val="null3"/>
              <w:ind w:firstLine="480"/>
            </w:pPr>
            <w:r>
              <w:rPr>
                <w:rFonts w:ascii="仿宋_GB2312" w:hAnsi="仿宋_GB2312" w:cs="仿宋_GB2312" w:eastAsia="仿宋_GB2312"/>
                <w:sz w:val="24"/>
              </w:rPr>
              <w:t>8</w:t>
            </w:r>
            <w:r>
              <w:rPr>
                <w:rFonts w:ascii="仿宋_GB2312" w:hAnsi="仿宋_GB2312" w:cs="仿宋_GB2312" w:eastAsia="仿宋_GB2312"/>
                <w:sz w:val="24"/>
              </w:rPr>
              <w:t>.供应商针对本项目的配送工作人员必须持健康证上岗，具备专用配送车辆，并具有运输资质，要建立货物运输车辆的定期消毒制度，避免在运输过程中出现交叉污染及货物安全性问题。货物包装的材料必须清洁、无污染。货物的包装和标签必须符合相应的规定和要求。盛放货物的容器要清洁、干燥、牢固、无异味、无霉变现象，食品包装符合有关法规、标准的要求，包装完好无破损。供应商按规定进入配送地点的配送人员及运输工具，必须接受采购人统一管理。供应商拟派全部人员在采购人院内外发生任何安全事故及伤亡事故，均由供应商负完全责任。采购人不承担任何赔偿责任。</w:t>
            </w:r>
          </w:p>
          <w:p>
            <w:pPr>
              <w:pStyle w:val="null3"/>
              <w:ind w:firstLine="480"/>
            </w:pPr>
            <w:r>
              <w:rPr>
                <w:rFonts w:ascii="仿宋_GB2312" w:hAnsi="仿宋_GB2312" w:cs="仿宋_GB2312" w:eastAsia="仿宋_GB2312"/>
                <w:sz w:val="24"/>
              </w:rPr>
              <w:t>9</w:t>
            </w:r>
            <w:r>
              <w:rPr>
                <w:rFonts w:ascii="仿宋_GB2312" w:hAnsi="仿宋_GB2312" w:cs="仿宋_GB2312" w:eastAsia="仿宋_GB2312"/>
                <w:sz w:val="24"/>
              </w:rPr>
              <w:t>.应急保障方案：供应商应提供自然灾害、公共卫生事件、停水、停电、重大疫情等情况下的应急保障方案。</w:t>
            </w:r>
          </w:p>
          <w:p>
            <w:pPr>
              <w:pStyle w:val="null3"/>
              <w:ind w:firstLine="482"/>
            </w:pPr>
            <w:r>
              <w:rPr>
                <w:rFonts w:ascii="仿宋_GB2312" w:hAnsi="仿宋_GB2312" w:cs="仿宋_GB2312" w:eastAsia="仿宋_GB2312"/>
                <w:sz w:val="24"/>
              </w:rPr>
              <w:t>10.</w:t>
            </w:r>
            <w:r>
              <w:rPr>
                <w:rFonts w:ascii="仿宋_GB2312" w:hAnsi="仿宋_GB2312" w:cs="仿宋_GB2312" w:eastAsia="仿宋_GB2312"/>
                <w:sz w:val="24"/>
              </w:rPr>
              <w:t>根据相关政策相关产品需在脱贫地区农副产品网络销售平台（</w:t>
            </w:r>
            <w:r>
              <w:rPr>
                <w:rFonts w:ascii="仿宋_GB2312" w:hAnsi="仿宋_GB2312" w:cs="仿宋_GB2312" w:eastAsia="仿宋_GB2312"/>
                <w:sz w:val="24"/>
              </w:rPr>
              <w:t>https://www.fupin832.com/）购买，且不少于1</w:t>
            </w:r>
            <w:r>
              <w:rPr>
                <w:rFonts w:ascii="仿宋_GB2312" w:hAnsi="仿宋_GB2312" w:cs="仿宋_GB2312" w:eastAsia="仿宋_GB2312"/>
                <w:sz w:val="24"/>
              </w:rPr>
              <w:t>0</w:t>
            </w:r>
            <w:r>
              <w:rPr>
                <w:rFonts w:ascii="仿宋_GB2312" w:hAnsi="仿宋_GB2312" w:cs="仿宋_GB2312" w:eastAsia="仿宋_GB2312"/>
                <w:sz w:val="24"/>
              </w:rPr>
              <w:t>%的份额，如遇国家新政策，以国家新政策为准执行。</w:t>
            </w:r>
          </w:p>
          <w:p>
            <w:pPr>
              <w:pStyle w:val="null3"/>
              <w:ind w:left="420"/>
              <w:jc w:val="both"/>
            </w:pPr>
            <w:r>
              <w:rPr>
                <w:rFonts w:ascii="仿宋_GB2312" w:hAnsi="仿宋_GB2312" w:cs="仿宋_GB2312" w:eastAsia="仿宋_GB2312"/>
                <w:sz w:val="28"/>
                <w:b/>
              </w:rPr>
              <w:t>五、商务要求（如服务期限、款项结算等）</w:t>
            </w:r>
          </w:p>
          <w:p>
            <w:pPr>
              <w:pStyle w:val="null3"/>
              <w:spacing w:after="120"/>
              <w:jc w:val="both"/>
            </w:pPr>
            <w:r>
              <w:rPr>
                <w:rFonts w:ascii="仿宋_GB2312" w:hAnsi="仿宋_GB2312" w:cs="仿宋_GB2312" w:eastAsia="仿宋_GB2312"/>
                <w:sz w:val="24"/>
              </w:rPr>
              <w:t>1.服务期限：</w:t>
            </w:r>
          </w:p>
          <w:p>
            <w:pPr>
              <w:pStyle w:val="null3"/>
              <w:spacing w:after="120"/>
              <w:ind w:firstLine="480"/>
              <w:jc w:val="both"/>
            </w:pPr>
            <w:r>
              <w:rPr>
                <w:rFonts w:ascii="仿宋_GB2312" w:hAnsi="仿宋_GB2312" w:cs="仿宋_GB2312" w:eastAsia="仿宋_GB2312"/>
                <w:sz w:val="24"/>
              </w:rPr>
              <w:t>自合同签订之日起一年，或累计结算金额到达采购预算，以先到达者为准。本项目采取一次招标二年沿用，实行一年一考核一验收一签合同（所提供服务质量经甲方绩效考评满意后，在采购内容不变、采购预算有保障、服务价格不变或降低的情况下，则双方可续签下年合同）。</w:t>
            </w:r>
          </w:p>
          <w:p>
            <w:pPr>
              <w:pStyle w:val="null3"/>
              <w:spacing w:after="120"/>
              <w:ind w:firstLine="480"/>
              <w:jc w:val="both"/>
            </w:pPr>
            <w:r>
              <w:rPr>
                <w:rFonts w:ascii="仿宋_GB2312" w:hAnsi="仿宋_GB2312" w:cs="仿宋_GB2312" w:eastAsia="仿宋_GB2312"/>
                <w:sz w:val="24"/>
              </w:rPr>
              <w:t>2.款项结算：</w:t>
            </w:r>
          </w:p>
          <w:p>
            <w:pPr>
              <w:pStyle w:val="null3"/>
              <w:spacing w:after="120"/>
              <w:ind w:firstLine="480"/>
              <w:jc w:val="both"/>
            </w:pPr>
            <w:r>
              <w:rPr>
                <w:rFonts w:ascii="仿宋_GB2312" w:hAnsi="仿宋_GB2312" w:cs="仿宋_GB2312" w:eastAsia="仿宋_GB2312"/>
                <w:sz w:val="24"/>
              </w:rPr>
              <w:t>按月据实结算。每年结算总额不得超过项目当年采购预算及最高限价。双方以每日经甲方收货人签字验收的配送单作为结算依据，每月初乙方凭结算汇总单开具上月增值税发票后送至甲方，甲方按照财政局报账程序进行付款，最终付款时间以实际到账时间为准。以实际发票金额为准，达到付款条件起</w:t>
            </w:r>
            <w:r>
              <w:rPr>
                <w:rFonts w:ascii="仿宋_GB2312" w:hAnsi="仿宋_GB2312" w:cs="仿宋_GB2312" w:eastAsia="仿宋_GB2312"/>
                <w:sz w:val="24"/>
              </w:rPr>
              <w:t>30日内，支付合同总金额的100.00%。</w:t>
            </w:r>
          </w:p>
          <w:p>
            <w:pPr>
              <w:pStyle w:val="null3"/>
              <w:ind w:left="420"/>
              <w:jc w:val="both"/>
            </w:pPr>
            <w:r>
              <w:rPr>
                <w:rFonts w:ascii="仿宋_GB2312" w:hAnsi="仿宋_GB2312" w:cs="仿宋_GB2312" w:eastAsia="仿宋_GB2312"/>
                <w:sz w:val="28"/>
                <w:b/>
              </w:rPr>
              <w:t>六、其他</w:t>
            </w:r>
            <w:r>
              <w:rPr>
                <w:rFonts w:ascii="仿宋_GB2312" w:hAnsi="仿宋_GB2312" w:cs="仿宋_GB2312" w:eastAsia="仿宋_GB2312"/>
                <w:sz w:val="28"/>
                <w:b/>
              </w:rPr>
              <w:t>(如有要求,请写明)</w:t>
            </w:r>
          </w:p>
          <w:p>
            <w:pPr>
              <w:pStyle w:val="null3"/>
              <w:spacing w:after="120"/>
              <w:jc w:val="both"/>
            </w:pPr>
            <w:r>
              <w:rPr>
                <w:rFonts w:ascii="仿宋_GB2312" w:hAnsi="仿宋_GB2312" w:cs="仿宋_GB2312" w:eastAsia="仿宋_GB2312"/>
                <w:sz w:val="24"/>
              </w:rPr>
              <w:t>1.对供应商的业绩要求：具有2023年1月至今类似项目业绩。</w:t>
            </w:r>
          </w:p>
          <w:p>
            <w:pPr>
              <w:pStyle w:val="null3"/>
              <w:spacing w:after="120"/>
              <w:ind w:firstLine="480"/>
              <w:jc w:val="both"/>
            </w:pPr>
            <w:r>
              <w:rPr>
                <w:rFonts w:ascii="仿宋_GB2312" w:hAnsi="仿宋_GB2312" w:cs="仿宋_GB2312" w:eastAsia="仿宋_GB2312"/>
                <w:sz w:val="24"/>
              </w:rPr>
              <w:t>2.供货地点：采购人指定地点</w:t>
            </w:r>
          </w:p>
          <w:p>
            <w:pPr>
              <w:pStyle w:val="null3"/>
              <w:spacing w:after="120"/>
              <w:ind w:firstLine="480"/>
              <w:jc w:val="both"/>
            </w:pPr>
            <w:r>
              <w:rPr>
                <w:rFonts w:ascii="仿宋_GB2312" w:hAnsi="仿宋_GB2312" w:cs="仿宋_GB2312" w:eastAsia="仿宋_GB2312"/>
                <w:sz w:val="24"/>
              </w:rPr>
              <w:t>3.验收方式：成交供应商将货物按要求送到采购人指定地点后，提供本批次货物的货物清单（含货物种类、数量、价格）。</w:t>
            </w:r>
          </w:p>
          <w:p>
            <w:pPr>
              <w:pStyle w:val="null3"/>
              <w:spacing w:after="120"/>
              <w:ind w:firstLine="480"/>
              <w:jc w:val="both"/>
            </w:pPr>
            <w:r>
              <w:rPr>
                <w:rFonts w:ascii="仿宋_GB2312" w:hAnsi="仿宋_GB2312" w:cs="仿宋_GB2312" w:eastAsia="仿宋_GB2312"/>
                <w:sz w:val="24"/>
              </w:rPr>
              <w:t>4.售后要求：4.1成交供应商提供的产品若出现不合格产品或在运输途中出现破损的，应在接到采购人通知12小时内响应，48小时内完成退换货工作；4.2鲜活物品保证在送达指定地点后依旧新鲜。</w:t>
            </w:r>
          </w:p>
          <w:p>
            <w:pPr>
              <w:pStyle w:val="null3"/>
              <w:spacing w:after="120"/>
              <w:ind w:firstLine="480"/>
              <w:jc w:val="both"/>
            </w:pPr>
            <w:r>
              <w:rPr>
                <w:rFonts w:ascii="仿宋_GB2312" w:hAnsi="仿宋_GB2312" w:cs="仿宋_GB2312" w:eastAsia="仿宋_GB2312"/>
                <w:sz w:val="24"/>
              </w:rPr>
              <w:t>5.违约责任：</w:t>
            </w:r>
          </w:p>
          <w:p>
            <w:pPr>
              <w:pStyle w:val="null3"/>
              <w:spacing w:after="120"/>
              <w:ind w:firstLine="480"/>
              <w:jc w:val="both"/>
            </w:pPr>
            <w:r>
              <w:rPr>
                <w:rFonts w:ascii="仿宋_GB2312" w:hAnsi="仿宋_GB2312" w:cs="仿宋_GB2312" w:eastAsia="仿宋_GB2312"/>
                <w:sz w:val="24"/>
              </w:rPr>
              <w:t>5.1按《中华人民共和国民法典》中的相关条款执行。</w:t>
            </w:r>
          </w:p>
          <w:p>
            <w:pPr>
              <w:pStyle w:val="null3"/>
              <w:spacing w:after="120"/>
              <w:ind w:firstLine="480"/>
              <w:jc w:val="both"/>
            </w:pPr>
            <w:r>
              <w:rPr>
                <w:rFonts w:ascii="仿宋_GB2312" w:hAnsi="仿宋_GB2312" w:cs="仿宋_GB2312" w:eastAsia="仿宋_GB2312"/>
                <w:sz w:val="24"/>
              </w:rPr>
              <w:t>5.2乙方送货质量问题给甲方造成损失的，由乙方承担全部责任。由于甲方保管原因造成的食品安全问题由甲方承担全部责任。</w:t>
            </w:r>
          </w:p>
          <w:p>
            <w:pPr>
              <w:pStyle w:val="null3"/>
              <w:spacing w:after="120"/>
              <w:ind w:firstLine="480"/>
              <w:jc w:val="both"/>
            </w:pPr>
            <w:r>
              <w:rPr>
                <w:rFonts w:ascii="仿宋_GB2312" w:hAnsi="仿宋_GB2312" w:cs="仿宋_GB2312" w:eastAsia="仿宋_GB2312"/>
                <w:sz w:val="24"/>
              </w:rPr>
              <w:t>5.3甲方逾期未向乙方支付货款，乙方催要无果的，乙方有权终止向甲方供货，并催收货款，同时终止合同。</w:t>
            </w:r>
          </w:p>
          <w:p>
            <w:pPr>
              <w:pStyle w:val="null3"/>
              <w:spacing w:after="120"/>
              <w:ind w:firstLine="480"/>
              <w:jc w:val="both"/>
            </w:pPr>
            <w:r>
              <w:rPr>
                <w:rFonts w:ascii="仿宋_GB2312" w:hAnsi="仿宋_GB2312" w:cs="仿宋_GB2312" w:eastAsia="仿宋_GB2312"/>
                <w:sz w:val="24"/>
              </w:rPr>
              <w:t>5.4乙方违反合同职责约定，甲方有权要求乙方及时整改，如乙方整改后仍不能达到甲方要求，甲方有权终止合同。</w:t>
            </w:r>
          </w:p>
          <w:p>
            <w:pPr>
              <w:pStyle w:val="null3"/>
              <w:spacing w:after="120"/>
              <w:ind w:firstLine="480"/>
              <w:jc w:val="both"/>
            </w:pPr>
            <w:r>
              <w:rPr>
                <w:rFonts w:ascii="仿宋_GB2312" w:hAnsi="仿宋_GB2312" w:cs="仿宋_GB2312" w:eastAsia="仿宋_GB2312"/>
                <w:sz w:val="24"/>
              </w:rPr>
              <w:t>5.5任何一方要终止合同都应提前一周(即：7天)以书面方式通知对方。</w:t>
            </w:r>
          </w:p>
          <w:p>
            <w:pPr>
              <w:pStyle w:val="null3"/>
              <w:spacing w:after="120"/>
              <w:ind w:firstLine="480"/>
              <w:jc w:val="both"/>
            </w:pPr>
            <w:r>
              <w:rPr>
                <w:rFonts w:ascii="仿宋_GB2312" w:hAnsi="仿宋_GB2312" w:cs="仿宋_GB2312" w:eastAsia="仿宋_GB2312"/>
                <w:sz w:val="24"/>
              </w:rPr>
              <w:t>5.6乙方严格按照甲方订单指定采购食材，如因甲方订单失误造成乙方采购货品错误，乙方不承担责任。</w:t>
            </w:r>
          </w:p>
          <w:p>
            <w:pPr>
              <w:pStyle w:val="null3"/>
              <w:spacing w:after="120"/>
              <w:ind w:firstLine="480"/>
              <w:jc w:val="both"/>
            </w:pPr>
            <w:r>
              <w:rPr>
                <w:rFonts w:ascii="仿宋_GB2312" w:hAnsi="仿宋_GB2312" w:cs="仿宋_GB2312" w:eastAsia="仿宋_GB2312"/>
                <w:sz w:val="24"/>
              </w:rPr>
              <w:t>6.保密条款：对工作中了解到的甲方的技术、机密等进行严格保密，不得向他人泄漏。本合同的解除或终止不免除乙方应承担的保密义务。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依据财政部及陕西省财政厅关于政府采购脱贫地区农副产品工作要求：</w:t>
            </w:r>
          </w:p>
          <w:p>
            <w:pPr>
              <w:pStyle w:val="null3"/>
            </w:pPr>
            <w:r>
              <w:rPr>
                <w:rFonts w:ascii="仿宋_GB2312" w:hAnsi="仿宋_GB2312" w:cs="仿宋_GB2312" w:eastAsia="仿宋_GB2312"/>
              </w:rPr>
              <w:t>1. 本项目食堂食材年度采购总额 预留不低于10%（鼓励15%） 通过“832平台”采购。</w:t>
            </w:r>
          </w:p>
          <w:p>
            <w:pPr>
              <w:pStyle w:val="null3"/>
            </w:pPr>
            <w:r>
              <w:rPr>
                <w:rFonts w:ascii="仿宋_GB2312" w:hAnsi="仿宋_GB2312" w:cs="仿宋_GB2312" w:eastAsia="仿宋_GB2312"/>
              </w:rPr>
              <w:t>2. 失败采购（流标、废标、违约、验收不合格等）金额不计入完成额，须重新采购补足，确保年度实际完成额达标。</w:t>
            </w:r>
          </w:p>
          <w:p>
            <w:pPr>
              <w:pStyle w:val="null3"/>
            </w:pPr>
            <w:r>
              <w:rPr>
                <w:rFonts w:ascii="仿宋_GB2312" w:hAnsi="仿宋_GB2312" w:cs="仿宋_GB2312" w:eastAsia="仿宋_GB2312"/>
              </w:rPr>
              <w:t>3. 承包人须在采购人指导下开通832平台权限，规范交易、验收、结算、台账管理，接受财政与审计监督。</w:t>
            </w:r>
          </w:p>
          <w:p>
            <w:pPr>
              <w:pStyle w:val="null3"/>
            </w:pPr>
            <w:r>
              <w:rPr>
                <w:rFonts w:ascii="仿宋_GB2312" w:hAnsi="仿宋_GB2312" w:cs="仿宋_GB2312" w:eastAsia="仿宋_GB2312"/>
              </w:rPr>
              <w:t>4. 未按约定执行832采购或未及时补救失败采购的，按违约处理，扣罚履约保证金、暂停付款直至整改合格。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或累计结算金额到达采购预算，以先到达者为准。本项目采取一次招标二年沿用，实行一年一考核一验收一签合同（所提供服务质量经甲方绩效考评满意后，在采购内容不变、采购预算有保障、服务价格不变或降低的情况下，则双方可续签下年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成交供应商将货物按要求送到采购人指定地点后，提供本批次货物的货物清单（含货物种类、数量、价格）。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每年结算总额不得超过项目当年采购预算及最高限价。双方以每日经甲方收货人签字验收的配送单作为结算依据，每月初乙方凭结算汇总单开具上月增值税发票后送至甲方，甲方按照财政局报账程序进行付款，最终付款时间以实际到账时间为准。以实际发票金额为准，达到付款条件起30日内，支付合同总金额的100.00%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按《中华人民共和国民法典》中的相关条款执行。2.乙方送货质量问题给甲方造成损失的，由乙方承担全部责任。由于甲方保管原因造成的食品安全问题由甲方承担全部责任。 3.甲方逾期未向乙方支付货款，乙方催要无果的，乙方有权终止向甲方供货，并催收货款，同时终止合同。 4.乙方违反合同职责约定，甲方有权要求乙方及时整改，如乙方整改后仍不能达到甲方要求，甲方有权终止合同。 5.任何一方要终止合同都应提前一周(即：7天)以书面方式通知对方。 6.乙方严格按照甲方订单指定采购食材，如因甲方订单失误造成乙方采购货品错误，乙方不承担责任。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成交人在领取成交通知书时提供一正两副纸质竞争性磋商响应文件及电子竞争性磋商响应文件一份（U 盘或移动硬盘；电子响应文件为Word版本和PDF版本，PDF文件为签章版）。装订：纸质竞争性磋商响应文件采用书籍（胶装）方式装订成册，与电子竞争性磋商响应文件一致的签字、盖章的完整版本。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财务状况报告：①可提供2023年度或2024年度经审计的财务报告（包含审计报告和审计报告中所涉及的财务报表和报表附注），②可提供2023年度或2024年度供应商完整的全套财务报表（应当包括资产负债表、利润表、现金流量表、所有者权益变动表、附注），③可提供截至投标文件提交截止日一年内银行出具的资信证明，④供应商注册时间截至投标文件提交截止日不足一年的，也可提供在工商管理部门备案的公司章程。不得要求供应商提供证明财务报告中签字签章人或者第三方机构的身份证明、财务报告中数据信息真实性有效性的证明材料； 2.税收缴纳证明：提供截止至磋商时间前一年内任意一个月的缴费证明；（依法免税的供应商应提供相关文件证明）； 3.社会保障资金缴纳证明：提供截止至磋商时间前一年内任意一个月的社保缴纳凭据或社保机构开具的社会保险参保缴纳情况证明；（依法不需要缴纳社会保障资金的供应商应提供相关证明） 4.提供具有履行本合同所必需的设备和专业技术能力的承诺；（提供承诺，加盖供应商公章） 5.提供参加政府采购活动前三年内在经营活动中没有重大违法记录的书面声明。（提供书面声明，加盖供应商公章） 6. 具有独立承担民事责任能力的法人、其他组织或自然人，并出具合法有效的营业执照或事业单位法人证书等国家规定的相关证明，自然人参与的提供其身份证明；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二、资格证明文件(1).docx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2023年度或2024年度经审计的财务报告（包含审计报告和审计报告中所涉及的财务报表和报表附注），②可提供2023年度或2024年度供应商完整的全套财务报表（应当包括资产负债表、利润表、现金流量表、所有者权益变动表、附注），③可提供截至投标文件提交截止日一年内银行出具的资信证明，④供应商注册时间截至投标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二、资格证明文件(1).docx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二、资格证明文件(1).docx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及法定代表人（主要负责人）委托授权书。</w:t>
            </w:r>
          </w:p>
        </w:tc>
        <w:tc>
          <w:tcPr>
            <w:tcW w:type="dxa" w:w="1661"/>
          </w:tcPr>
          <w:p>
            <w:pPr>
              <w:pStyle w:val="null3"/>
            </w:pPr>
            <w:r>
              <w:rPr>
                <w:rFonts w:ascii="仿宋_GB2312" w:hAnsi="仿宋_GB2312" w:cs="仿宋_GB2312" w:eastAsia="仿宋_GB2312"/>
              </w:rPr>
              <w:t>二、资格证明文件(1).docx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信用记录查询结果</w:t>
            </w:r>
          </w:p>
        </w:tc>
        <w:tc>
          <w:tcPr>
            <w:tcW w:type="dxa" w:w="3322"/>
          </w:tcPr>
          <w:p>
            <w:pPr>
              <w:pStyle w:val="null3"/>
            </w:pPr>
            <w:r>
              <w:rPr>
                <w:rFonts w:ascii="仿宋_GB2312" w:hAnsi="仿宋_GB2312" w:cs="仿宋_GB2312" w:eastAsia="仿宋_GB2312"/>
              </w:rPr>
              <w:t>供应商不得为信用中国”网站（www.creditchina.gov.cn）中重大税收违法失信主体名单的供应商，不得为“信用中国”网站（www.creditchina.gov.cn）中列入失信被执行人的供应商（页面跳转至“中国执行信息公开网”网站（zxgk.court.gov.cn）），不得为“中国政府采购网”网站（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二、资格证明文件(1).docx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为生产厂家的须提供《食品生产许可证》，供应商为经销商的须提供有效的《食品经营许可证》；供应商须提供所投产品生产企业的《动物防疫条件合格证》（仅肉类);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二、资格证明文件(1).docx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提交非联合体形式参加本项目磋商的声明函。</w:t>
            </w:r>
          </w:p>
        </w:tc>
        <w:tc>
          <w:tcPr>
            <w:tcW w:type="dxa" w:w="1661"/>
          </w:tcPr>
          <w:p>
            <w:pPr>
              <w:pStyle w:val="null3"/>
            </w:pPr>
            <w:r>
              <w:rPr>
                <w:rFonts w:ascii="仿宋_GB2312" w:hAnsi="仿宋_GB2312" w:cs="仿宋_GB2312" w:eastAsia="仿宋_GB2312"/>
              </w:rPr>
              <w:t>二、资格证明文件(1).docx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本项目专门面向中小企业采购（残疾人福利性单位、监狱企业视同小型、微型企业）[供应商需提供《中小企业声明函》（监狱企业的证明文件或《残疾人福利性单位声明函》）</w:t>
            </w:r>
          </w:p>
        </w:tc>
        <w:tc>
          <w:tcPr>
            <w:tcW w:type="dxa" w:w="1661"/>
          </w:tcPr>
          <w:p>
            <w:pPr>
              <w:pStyle w:val="null3"/>
            </w:pPr>
            <w:r>
              <w:rPr>
                <w:rFonts w:ascii="仿宋_GB2312" w:hAnsi="仿宋_GB2312" w:cs="仿宋_GB2312" w:eastAsia="仿宋_GB2312"/>
              </w:rPr>
              <w:t>二、资格证明文件(1).docx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三、商务及技术响应偏离表.docx 中小企业声明函 残疾人福利性单位声明函 四、技术方案(1).docx 一、开标一览表.docx 标的清单 报价表 响应函 监狱企业的证明文件 二、资格证明文件(1).docx 五、业绩.docx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 xml:space="preserve"> 符合磋商文件要求</w:t>
            </w:r>
          </w:p>
        </w:tc>
        <w:tc>
          <w:tcPr>
            <w:tcW w:type="dxa" w:w="1661"/>
          </w:tcPr>
          <w:p>
            <w:pPr>
              <w:pStyle w:val="null3"/>
            </w:pPr>
            <w:r>
              <w:rPr>
                <w:rFonts w:ascii="仿宋_GB2312" w:hAnsi="仿宋_GB2312" w:cs="仿宋_GB2312" w:eastAsia="仿宋_GB2312"/>
              </w:rPr>
              <w:t>响应文件封面 三、商务及技术响应偏离表.docx 中小企业声明函 残疾人福利性单位声明函 四、技术方案(1).docx 一、开标一览表.docx 标的清单 报价表 响应函 监狱企业的证明文件 二、资格证明文件(1).docx 五、业绩.docx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报价唯一</w:t>
            </w:r>
          </w:p>
        </w:tc>
        <w:tc>
          <w:tcPr>
            <w:tcW w:type="dxa" w:w="3322"/>
          </w:tcPr>
          <w:p>
            <w:pPr>
              <w:pStyle w:val="null3"/>
            </w:pPr>
            <w:r>
              <w:rPr>
                <w:rFonts w:ascii="仿宋_GB2312" w:hAnsi="仿宋_GB2312" w:cs="仿宋_GB2312" w:eastAsia="仿宋_GB2312"/>
              </w:rPr>
              <w:t>只能有一个有效报价，不得提交选择性报价，且报价不超过预算金额或最高限价</w:t>
            </w:r>
          </w:p>
        </w:tc>
        <w:tc>
          <w:tcPr>
            <w:tcW w:type="dxa" w:w="1661"/>
          </w:tcPr>
          <w:p>
            <w:pPr>
              <w:pStyle w:val="null3"/>
            </w:pPr>
            <w:r>
              <w:rPr>
                <w:rFonts w:ascii="仿宋_GB2312" w:hAnsi="仿宋_GB2312" w:cs="仿宋_GB2312" w:eastAsia="仿宋_GB2312"/>
              </w:rPr>
              <w:t>响应文件封面 三、商务及技术响应偏离表.docx 中小企业声明函 残疾人福利性单位声明函 四、技术方案(1).docx 一、开标一览表.docx 标的清单 报价表 响应函 监狱企业的证明文件 二、资格证明文件(1).docx 五、业绩.docx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 xml:space="preserve"> 服务期</w:t>
            </w:r>
          </w:p>
        </w:tc>
        <w:tc>
          <w:tcPr>
            <w:tcW w:type="dxa" w:w="3322"/>
          </w:tcPr>
          <w:p>
            <w:pPr>
              <w:pStyle w:val="null3"/>
            </w:pPr>
            <w:r>
              <w:rPr>
                <w:rFonts w:ascii="仿宋_GB2312" w:hAnsi="仿宋_GB2312" w:cs="仿宋_GB2312" w:eastAsia="仿宋_GB2312"/>
              </w:rPr>
              <w:t xml:space="preserve"> 符合磋商文件要求</w:t>
            </w:r>
          </w:p>
        </w:tc>
        <w:tc>
          <w:tcPr>
            <w:tcW w:type="dxa" w:w="1661"/>
          </w:tcPr>
          <w:p>
            <w:pPr>
              <w:pStyle w:val="null3"/>
            </w:pPr>
            <w:r>
              <w:rPr>
                <w:rFonts w:ascii="仿宋_GB2312" w:hAnsi="仿宋_GB2312" w:cs="仿宋_GB2312" w:eastAsia="仿宋_GB2312"/>
              </w:rPr>
              <w:t>响应文件封面 三、商务及技术响应偏离表.docx 中小企业声明函 残疾人福利性单位声明函 一、开标一览表.docx 四、技术方案(1).docx 标的清单 报价表 响应函 监狱企业的证明文件 二、资格证明文件(1).docx 五、业绩.docx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 xml:space="preserve"> 投标有效期</w:t>
            </w:r>
          </w:p>
        </w:tc>
        <w:tc>
          <w:tcPr>
            <w:tcW w:type="dxa" w:w="3322"/>
          </w:tcPr>
          <w:p>
            <w:pPr>
              <w:pStyle w:val="null3"/>
            </w:pPr>
            <w:r>
              <w:rPr>
                <w:rFonts w:ascii="仿宋_GB2312" w:hAnsi="仿宋_GB2312" w:cs="仿宋_GB2312" w:eastAsia="仿宋_GB2312"/>
              </w:rPr>
              <w:t xml:space="preserve"> 符合磋商文件要求</w:t>
            </w:r>
          </w:p>
        </w:tc>
        <w:tc>
          <w:tcPr>
            <w:tcW w:type="dxa" w:w="1661"/>
          </w:tcPr>
          <w:p>
            <w:pPr>
              <w:pStyle w:val="null3"/>
            </w:pPr>
            <w:r>
              <w:rPr>
                <w:rFonts w:ascii="仿宋_GB2312" w:hAnsi="仿宋_GB2312" w:cs="仿宋_GB2312" w:eastAsia="仿宋_GB2312"/>
              </w:rPr>
              <w:t>响应文件封面 三、商务及技术响应偏离表.docx 中小企业声明函 残疾人福利性单位声明函 四、技术方案(1).docx 一、开标一览表.docx 标的清单 报价表 响应函 监狱企业的证明文件 二、资格证明文件(1).docx 五、业绩.docx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食材配送方案</w:t>
            </w:r>
          </w:p>
        </w:tc>
        <w:tc>
          <w:tcPr>
            <w:tcW w:type="dxa" w:w="2492"/>
          </w:tcPr>
          <w:p>
            <w:pPr>
              <w:pStyle w:val="null3"/>
            </w:pPr>
            <w:r>
              <w:rPr>
                <w:rFonts w:ascii="仿宋_GB2312" w:hAnsi="仿宋_GB2312" w:cs="仿宋_GB2312" w:eastAsia="仿宋_GB2312"/>
              </w:rPr>
              <w:t>评审内容：①整体服务方案；②整体服务流程；③食品配送方案。 评审依据：每一项内容描述详细，切实可行符合项目实际内容得4分，①-③项合计得12分。内容①-③项任意一项缺项扣4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四、技术方案(1).docx</w:t>
            </w:r>
          </w:p>
        </w:tc>
      </w:tr>
      <w:tr>
        <w:tc>
          <w:tcPr>
            <w:tcW w:type="dxa" w:w="831"/>
            <w:vMerge/>
          </w:tcPr>
          <w:p/>
        </w:tc>
        <w:tc>
          <w:tcPr>
            <w:tcW w:type="dxa" w:w="1661"/>
          </w:tcPr>
          <w:p>
            <w:pPr>
              <w:pStyle w:val="null3"/>
            </w:pPr>
            <w:r>
              <w:rPr>
                <w:rFonts w:ascii="仿宋_GB2312" w:hAnsi="仿宋_GB2312" w:cs="仿宋_GB2312" w:eastAsia="仿宋_GB2312"/>
              </w:rPr>
              <w:t>食材安全管理方案</w:t>
            </w:r>
          </w:p>
        </w:tc>
        <w:tc>
          <w:tcPr>
            <w:tcW w:type="dxa" w:w="2492"/>
          </w:tcPr>
          <w:p>
            <w:pPr>
              <w:pStyle w:val="null3"/>
            </w:pPr>
            <w:r>
              <w:rPr>
                <w:rFonts w:ascii="仿宋_GB2312" w:hAnsi="仿宋_GB2312" w:cs="仿宋_GB2312" w:eastAsia="仿宋_GB2312"/>
              </w:rPr>
              <w:t>评审内容：①安全责任划分标准；②安全事故的应对措施；③食材安全预防措施。 评审依据：每一项内容描述详细，切实可行符合项目实际内容得4分，①-③项合计得12分。内容①-③项任意一项缺项扣4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四、技术方案(1).docx</w:t>
            </w:r>
          </w:p>
        </w:tc>
      </w:tr>
      <w:tr>
        <w:tc>
          <w:tcPr>
            <w:tcW w:type="dxa" w:w="831"/>
            <w:vMerge/>
          </w:tcPr>
          <w:p/>
        </w:tc>
        <w:tc>
          <w:tcPr>
            <w:tcW w:type="dxa" w:w="1661"/>
          </w:tcPr>
          <w:p>
            <w:pPr>
              <w:pStyle w:val="null3"/>
            </w:pPr>
            <w:r>
              <w:rPr>
                <w:rFonts w:ascii="仿宋_GB2312" w:hAnsi="仿宋_GB2312" w:cs="仿宋_GB2312" w:eastAsia="仿宋_GB2312"/>
              </w:rPr>
              <w:t>岗位及人员配置</w:t>
            </w:r>
          </w:p>
        </w:tc>
        <w:tc>
          <w:tcPr>
            <w:tcW w:type="dxa" w:w="2492"/>
          </w:tcPr>
          <w:p>
            <w:pPr>
              <w:pStyle w:val="null3"/>
            </w:pPr>
            <w:r>
              <w:rPr>
                <w:rFonts w:ascii="仿宋_GB2312" w:hAnsi="仿宋_GB2312" w:cs="仿宋_GB2312" w:eastAsia="仿宋_GB2312"/>
              </w:rPr>
              <w:t>评审内容：①项目组成人员；②项目组织计划；③项目岗位职责。 评审依据：每一项内容描述详细，切实可行符合项目实际内容得4分，①-③项合计得12分。内容①-③项任意一项缺项扣4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四、技术方案(1).docx</w:t>
            </w:r>
          </w:p>
        </w:tc>
      </w:tr>
      <w:tr>
        <w:tc>
          <w:tcPr>
            <w:tcW w:type="dxa" w:w="831"/>
            <w:vMerge/>
          </w:tcPr>
          <w:p/>
        </w:tc>
        <w:tc>
          <w:tcPr>
            <w:tcW w:type="dxa" w:w="1661"/>
          </w:tcPr>
          <w:p>
            <w:pPr>
              <w:pStyle w:val="null3"/>
            </w:pPr>
            <w:r>
              <w:rPr>
                <w:rFonts w:ascii="仿宋_GB2312" w:hAnsi="仿宋_GB2312" w:cs="仿宋_GB2312" w:eastAsia="仿宋_GB2312"/>
              </w:rPr>
              <w:t>供应商质量保证方案</w:t>
            </w:r>
          </w:p>
        </w:tc>
        <w:tc>
          <w:tcPr>
            <w:tcW w:type="dxa" w:w="2492"/>
          </w:tcPr>
          <w:p>
            <w:pPr>
              <w:pStyle w:val="null3"/>
            </w:pPr>
            <w:r>
              <w:rPr>
                <w:rFonts w:ascii="仿宋_GB2312" w:hAnsi="仿宋_GB2312" w:cs="仿宋_GB2312" w:eastAsia="仿宋_GB2312"/>
              </w:rPr>
              <w:t>评审内容：①食品质量；②食品卫生；③安全执行标准；④抽样检验检查；⑤日常检查。 评审依据：每一项内容描述详细，切实可行符合项目实际内容得3分，①-⑤项合计得15分。内容①-⑤项任意一项缺项扣3分；内容①-⑤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四、技术方案(1).docx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评审内容：①市场供求变化；②恶劣天气；③车辆故障等突发事件；④配送或使用过程出现问题。 评审依据：每一项内容描述详细，切实可行符合项目实际内容得3分，①-④项合计得12分。内容①-④项任意一项缺项扣3分；内容①-④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四、技术方案(1).docx</w:t>
            </w:r>
          </w:p>
        </w:tc>
      </w:tr>
      <w:tr>
        <w:tc>
          <w:tcPr>
            <w:tcW w:type="dxa" w:w="831"/>
            <w:vMerge/>
          </w:tcPr>
          <w:p/>
        </w:tc>
        <w:tc>
          <w:tcPr>
            <w:tcW w:type="dxa" w:w="1661"/>
          </w:tcPr>
          <w:p>
            <w:pPr>
              <w:pStyle w:val="null3"/>
            </w:pPr>
            <w:r>
              <w:rPr>
                <w:rFonts w:ascii="仿宋_GB2312" w:hAnsi="仿宋_GB2312" w:cs="仿宋_GB2312" w:eastAsia="仿宋_GB2312"/>
              </w:rPr>
              <w:t>时效保障措施</w:t>
            </w:r>
          </w:p>
        </w:tc>
        <w:tc>
          <w:tcPr>
            <w:tcW w:type="dxa" w:w="2492"/>
          </w:tcPr>
          <w:p>
            <w:pPr>
              <w:pStyle w:val="null3"/>
            </w:pPr>
            <w:r>
              <w:rPr>
                <w:rFonts w:ascii="仿宋_GB2312" w:hAnsi="仿宋_GB2312" w:cs="仿宋_GB2312" w:eastAsia="仿宋_GB2312"/>
              </w:rPr>
              <w:t>评审内容：①采买时间计划；②运输路线规划；③保温保鲜条件；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四、技术方案(1).docx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①产品食品安全售后服务保障措施；②产品食品质量售后服务保障措施。评审依据：每一项内容描述详细，切实可行符合项目实际内容得4分，①-②项合计得8分。内容①-②项任意一项缺项扣4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四、技术方案(1).docx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提供2023年01月01日至今类似项目业绩合同（以合同签订时间为准），每份计2分，满分10分。 （注：以上证明文件在响应文件中附业绩合同扫描件并加盖公司公章。）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价格分统一采用低价优先法计算，即满足磋商文件要求且最终投标价格最低的投标报价为评标基准价，其价格分为满分。其他投标人的价格分统一按照下列公式计算： 投标报价得分=(评标基准价／最终投标报价)×价格权值×100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详见附件：一、开标一览表.docx</w:t>
      </w:r>
    </w:p>
    <w:p>
      <w:pPr>
        <w:pStyle w:val="null3"/>
        <w:ind w:firstLine="960"/>
      </w:pPr>
      <w:r>
        <w:rPr>
          <w:rFonts w:ascii="仿宋_GB2312" w:hAnsi="仿宋_GB2312" w:cs="仿宋_GB2312" w:eastAsia="仿宋_GB2312"/>
        </w:rPr>
        <w:t>详见附件：二、资格证明文件(1).docx</w:t>
      </w:r>
    </w:p>
    <w:p>
      <w:pPr>
        <w:pStyle w:val="null3"/>
        <w:ind w:firstLine="960"/>
      </w:pPr>
      <w:r>
        <w:rPr>
          <w:rFonts w:ascii="仿宋_GB2312" w:hAnsi="仿宋_GB2312" w:cs="仿宋_GB2312" w:eastAsia="仿宋_GB2312"/>
        </w:rPr>
        <w:t>详见附件：三、商务及技术响应偏离表.docx</w:t>
      </w:r>
    </w:p>
    <w:p>
      <w:pPr>
        <w:pStyle w:val="null3"/>
        <w:ind w:firstLine="960"/>
      </w:pPr>
      <w:r>
        <w:rPr>
          <w:rFonts w:ascii="仿宋_GB2312" w:hAnsi="仿宋_GB2312" w:cs="仿宋_GB2312" w:eastAsia="仿宋_GB2312"/>
        </w:rPr>
        <w:t>详见附件：四、技术方案(1).docx</w:t>
      </w:r>
    </w:p>
    <w:p>
      <w:pPr>
        <w:pStyle w:val="null3"/>
        <w:ind w:firstLine="960"/>
      </w:pPr>
      <w:r>
        <w:rPr>
          <w:rFonts w:ascii="仿宋_GB2312" w:hAnsi="仿宋_GB2312" w:cs="仿宋_GB2312" w:eastAsia="仿宋_GB2312"/>
        </w:rPr>
        <w:t>详见附件：五、业绩.docx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