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6858D">
      <w:pPr>
        <w:spacing w:line="360" w:lineRule="auto"/>
        <w:ind w:left="1080" w:leftChars="257" w:hanging="540"/>
        <w:jc w:val="center"/>
        <w:outlineLvl w:val="0"/>
        <w:rPr>
          <w:rFonts w:hint="eastAsia" w:ascii="宋体" w:hAnsi="宋体" w:eastAsia="宋体" w:cs="宋体"/>
          <w:sz w:val="32"/>
          <w:szCs w:val="32"/>
          <w:highlight w:val="none"/>
        </w:rPr>
      </w:pPr>
      <w:bookmarkStart w:id="0" w:name="_Toc532044541"/>
      <w:bookmarkStart w:id="1" w:name="_Toc4796"/>
      <w:bookmarkStart w:id="2" w:name="_Toc6865"/>
      <w:bookmarkStart w:id="3" w:name="_Toc532473757"/>
      <w:bookmarkStart w:id="4" w:name="_Toc515647833"/>
      <w:bookmarkStart w:id="5" w:name="_Toc138593910"/>
      <w:r>
        <w:rPr>
          <w:rStyle w:val="7"/>
          <w:rFonts w:hint="eastAsia" w:ascii="宋体" w:hAnsi="宋体" w:eastAsia="宋体" w:cs="宋体"/>
          <w:szCs w:val="32"/>
          <w:highlight w:val="none"/>
        </w:rPr>
        <w:t>拟签订</w:t>
      </w:r>
      <w:r>
        <w:rPr>
          <w:rStyle w:val="7"/>
          <w:rFonts w:hint="eastAsia" w:ascii="宋体" w:hAnsi="宋体" w:eastAsia="宋体" w:cs="宋体"/>
          <w:szCs w:val="32"/>
          <w:highlight w:val="none"/>
          <w:lang w:val="en-US" w:eastAsia="zh-CN"/>
        </w:rPr>
        <w:t>采购</w:t>
      </w:r>
      <w:r>
        <w:rPr>
          <w:rStyle w:val="7"/>
          <w:rFonts w:hint="eastAsia" w:ascii="宋体" w:hAnsi="宋体" w:eastAsia="宋体" w:cs="宋体"/>
          <w:szCs w:val="32"/>
          <w:highlight w:val="none"/>
        </w:rPr>
        <w:t>合同</w:t>
      </w:r>
      <w:bookmarkEnd w:id="0"/>
      <w:bookmarkEnd w:id="1"/>
      <w:bookmarkEnd w:id="2"/>
      <w:bookmarkEnd w:id="3"/>
      <w:bookmarkEnd w:id="4"/>
      <w:bookmarkStart w:id="6" w:name="_Hlt487972895"/>
      <w:bookmarkEnd w:id="6"/>
      <w:bookmarkStart w:id="7" w:name="_Toc216513788"/>
      <w:bookmarkStart w:id="8" w:name="_Toc487900382"/>
      <w:r>
        <w:rPr>
          <w:rStyle w:val="7"/>
          <w:rFonts w:hint="eastAsia" w:ascii="宋体" w:hAnsi="宋体" w:eastAsia="宋体" w:cs="宋体"/>
          <w:szCs w:val="32"/>
          <w:highlight w:val="none"/>
        </w:rPr>
        <w:t>文本</w:t>
      </w:r>
      <w:bookmarkEnd w:id="5"/>
    </w:p>
    <w:bookmarkEnd w:id="7"/>
    <w:bookmarkEnd w:id="8"/>
    <w:p w14:paraId="5235651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both"/>
        <w:textAlignment w:val="auto"/>
        <w:outlineLvl w:val="9"/>
        <w:rPr>
          <w:rFonts w:hint="eastAsia" w:ascii="宋体" w:hAnsi="宋体" w:eastAsia="宋体" w:cs="宋体"/>
          <w:b w:val="0"/>
          <w:bCs w:val="0"/>
          <w:color w:val="auto"/>
          <w:spacing w:val="0"/>
          <w:w w:val="100"/>
          <w:position w:val="0"/>
          <w:lang w:val="zh-TW" w:eastAsia="zh-CN" w:bidi="zh-TW"/>
        </w:rPr>
      </w:pPr>
      <w:r>
        <w:rPr>
          <w:rFonts w:hint="eastAsia" w:ascii="宋体" w:hAnsi="宋体" w:eastAsia="宋体" w:cs="宋体"/>
          <w:b w:val="0"/>
          <w:bCs w:val="0"/>
          <w:color w:val="auto"/>
          <w:spacing w:val="0"/>
          <w:w w:val="100"/>
          <w:position w:val="0"/>
          <w:sz w:val="28"/>
          <w:szCs w:val="28"/>
          <w:lang w:val="zh-TW" w:eastAsia="zh-CN" w:bidi="zh-TW"/>
        </w:rPr>
        <w:t>注：本合同样本仅供参考，具体条款内容由采购人和成交供应商协商确定，但不得改变采购文件、响应文件、成交通知书等实质性内容。</w:t>
      </w:r>
    </w:p>
    <w:p w14:paraId="17200D9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auto"/>
          <w:spacing w:val="0"/>
          <w:w w:val="100"/>
          <w:position w:val="0"/>
          <w:lang w:val="zh-TW" w:eastAsia="zh-CN" w:bidi="zh-TW"/>
        </w:rPr>
      </w:pPr>
    </w:p>
    <w:p w14:paraId="366896D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auto"/>
          <w:spacing w:val="0"/>
          <w:w w:val="100"/>
          <w:position w:val="0"/>
          <w:lang w:val="zh-TW" w:eastAsia="zh-CN" w:bidi="zh-TW"/>
        </w:rPr>
      </w:pPr>
    </w:p>
    <w:p w14:paraId="17BD401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auto"/>
          <w:spacing w:val="0"/>
          <w:w w:val="100"/>
          <w:position w:val="0"/>
          <w:lang w:val="zh-TW" w:eastAsia="zh-CN" w:bidi="zh-TW"/>
        </w:rPr>
      </w:pPr>
      <w:r>
        <w:rPr>
          <w:rFonts w:hint="eastAsia" w:ascii="宋体" w:hAnsi="宋体" w:eastAsia="宋体" w:cs="宋体"/>
          <w:b w:val="0"/>
          <w:bCs w:val="0"/>
          <w:color w:val="auto"/>
          <w:spacing w:val="0"/>
          <w:w w:val="100"/>
          <w:position w:val="0"/>
          <w:lang w:val="zh-TW" w:eastAsia="zh-CN" w:bidi="zh-TW"/>
        </w:rPr>
        <w:t>职工食堂食材配送服务项目</w:t>
      </w:r>
    </w:p>
    <w:p w14:paraId="00016BB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auto"/>
          <w:spacing w:val="0"/>
          <w:w w:val="100"/>
          <w:position w:val="0"/>
          <w:sz w:val="48"/>
          <w:szCs w:val="48"/>
          <w:lang w:val="en-US" w:eastAsia="en-US" w:bidi="en-US"/>
        </w:rPr>
      </w:pPr>
      <w:bookmarkStart w:id="9" w:name="_Toc29286"/>
      <w:r>
        <w:rPr>
          <w:rFonts w:hint="eastAsia" w:ascii="宋体" w:hAnsi="宋体" w:eastAsia="宋体" w:cs="宋体"/>
          <w:b w:val="0"/>
          <w:bCs w:val="0"/>
          <w:color w:val="auto"/>
          <w:spacing w:val="0"/>
          <w:w w:val="100"/>
          <w:position w:val="0"/>
          <w:sz w:val="40"/>
          <w:szCs w:val="40"/>
          <w:lang w:val="zh-TW" w:eastAsia="zh-TW" w:bidi="zh-TW"/>
        </w:rPr>
        <w:t>（</w:t>
      </w:r>
      <w:r>
        <w:rPr>
          <w:rFonts w:hint="eastAsia" w:ascii="宋体" w:hAnsi="宋体" w:eastAsia="宋体" w:cs="宋体"/>
          <w:b w:val="0"/>
          <w:bCs w:val="0"/>
          <w:color w:val="auto"/>
          <w:spacing w:val="0"/>
          <w:w w:val="100"/>
          <w:position w:val="0"/>
          <w:sz w:val="40"/>
          <w:szCs w:val="40"/>
          <w:lang w:val="en-US" w:eastAsia="zh-CN" w:bidi="zh-TW"/>
        </w:rPr>
        <w:t>项目</w:t>
      </w:r>
      <w:r>
        <w:rPr>
          <w:rFonts w:hint="eastAsia" w:ascii="宋体" w:hAnsi="宋体" w:eastAsia="宋体" w:cs="宋体"/>
          <w:b w:val="0"/>
          <w:bCs w:val="0"/>
          <w:color w:val="auto"/>
          <w:spacing w:val="0"/>
          <w:w w:val="100"/>
          <w:position w:val="0"/>
          <w:sz w:val="40"/>
          <w:szCs w:val="40"/>
          <w:lang w:val="zh-TW" w:eastAsia="zh-TW" w:bidi="zh-TW"/>
        </w:rPr>
        <w:t>编号：</w:t>
      </w:r>
      <w:bookmarkEnd w:id="9"/>
      <w:r>
        <w:rPr>
          <w:rFonts w:hint="eastAsia" w:ascii="宋体" w:hAnsi="宋体" w:eastAsia="宋体" w:cs="宋体"/>
          <w:b w:val="0"/>
          <w:bCs w:val="0"/>
          <w:color w:val="auto"/>
          <w:spacing w:val="0"/>
          <w:w w:val="100"/>
          <w:position w:val="0"/>
          <w:sz w:val="40"/>
          <w:szCs w:val="40"/>
          <w:lang w:val="zh-TW" w:eastAsia="zh-TW" w:bidi="zh-TW"/>
        </w:rPr>
        <w:t xml:space="preserve">ZRD-2026XAZC651 </w:t>
      </w:r>
      <w:r>
        <w:rPr>
          <w:rFonts w:hint="eastAsia" w:ascii="宋体" w:hAnsi="宋体" w:eastAsia="宋体" w:cs="宋体"/>
          <w:b w:val="0"/>
          <w:bCs w:val="0"/>
          <w:color w:val="auto"/>
          <w:spacing w:val="0"/>
          <w:w w:val="100"/>
          <w:position w:val="0"/>
          <w:sz w:val="40"/>
          <w:szCs w:val="40"/>
          <w:lang w:val="en-US" w:eastAsia="zh-CN" w:bidi="zh-TW"/>
        </w:rPr>
        <w:t>）</w:t>
      </w:r>
    </w:p>
    <w:p w14:paraId="0E4A2C7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1080" w:firstLineChars="200"/>
        <w:jc w:val="center"/>
        <w:textAlignment w:val="auto"/>
        <w:outlineLvl w:val="9"/>
        <w:rPr>
          <w:rFonts w:hint="eastAsia" w:ascii="宋体" w:hAnsi="宋体" w:eastAsia="宋体" w:cs="宋体"/>
          <w:b w:val="0"/>
          <w:bCs w:val="0"/>
          <w:color w:val="auto"/>
          <w:spacing w:val="0"/>
          <w:w w:val="100"/>
          <w:position w:val="0"/>
          <w:lang w:val="en-US" w:eastAsia="en-US" w:bidi="en-US"/>
        </w:rPr>
      </w:pPr>
    </w:p>
    <w:p w14:paraId="5DBF1A7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right="0"/>
        <w:jc w:val="center"/>
        <w:textAlignment w:val="auto"/>
        <w:outlineLvl w:val="9"/>
        <w:rPr>
          <w:rFonts w:hint="eastAsia" w:ascii="宋体" w:hAnsi="宋体" w:eastAsia="宋体" w:cs="宋体"/>
          <w:b w:val="0"/>
          <w:bCs w:val="0"/>
          <w:color w:val="auto"/>
          <w:spacing w:val="0"/>
          <w:w w:val="100"/>
          <w:position w:val="0"/>
          <w:lang w:val="en-US" w:eastAsia="zh-CN" w:bidi="en-US"/>
        </w:rPr>
      </w:pPr>
    </w:p>
    <w:p w14:paraId="79997FA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right="0"/>
        <w:jc w:val="center"/>
        <w:textAlignment w:val="auto"/>
        <w:outlineLvl w:val="9"/>
        <w:rPr>
          <w:rFonts w:hint="eastAsia" w:ascii="宋体" w:hAnsi="宋体" w:eastAsia="宋体" w:cs="宋体"/>
          <w:b w:val="0"/>
          <w:bCs w:val="0"/>
          <w:color w:val="auto"/>
          <w:spacing w:val="0"/>
          <w:w w:val="100"/>
          <w:position w:val="0"/>
          <w:lang w:val="en-US" w:eastAsia="zh-CN" w:bidi="en-US"/>
        </w:rPr>
      </w:pPr>
    </w:p>
    <w:p w14:paraId="6FE6183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right="0"/>
        <w:jc w:val="center"/>
        <w:textAlignment w:val="auto"/>
        <w:outlineLvl w:val="9"/>
        <w:rPr>
          <w:rFonts w:hint="eastAsia" w:ascii="宋体" w:hAnsi="宋体" w:eastAsia="宋体" w:cs="宋体"/>
          <w:b w:val="0"/>
          <w:bCs w:val="0"/>
          <w:color w:val="auto"/>
          <w:spacing w:val="0"/>
          <w:w w:val="100"/>
          <w:position w:val="0"/>
          <w:lang w:val="en-US" w:eastAsia="zh-CN" w:bidi="en-US"/>
        </w:rPr>
      </w:pPr>
      <w:r>
        <w:rPr>
          <w:rFonts w:hint="eastAsia" w:ascii="宋体" w:hAnsi="宋体" w:eastAsia="宋体" w:cs="宋体"/>
          <w:b w:val="0"/>
          <w:bCs w:val="0"/>
          <w:color w:val="auto"/>
          <w:spacing w:val="0"/>
          <w:w w:val="100"/>
          <w:position w:val="0"/>
          <w:lang w:val="en-US" w:eastAsia="zh-CN" w:bidi="en-US"/>
        </w:rPr>
        <w:t>服务合同</w:t>
      </w:r>
    </w:p>
    <w:p w14:paraId="3B6E2FC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hint="eastAsia" w:ascii="宋体" w:hAnsi="宋体" w:eastAsia="宋体" w:cs="宋体"/>
          <w:b w:val="0"/>
          <w:bCs w:val="0"/>
          <w:color w:val="auto"/>
          <w:spacing w:val="0"/>
          <w:w w:val="100"/>
          <w:position w:val="0"/>
          <w:lang w:val="zh-TW" w:eastAsia="zh-TW" w:bidi="zh-TW"/>
        </w:rPr>
      </w:pPr>
    </w:p>
    <w:p w14:paraId="05C7972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rFonts w:hint="eastAsia" w:ascii="宋体" w:hAnsi="宋体" w:eastAsia="宋体" w:cs="宋体"/>
          <w:b w:val="0"/>
          <w:bCs w:val="0"/>
          <w:color w:val="auto"/>
          <w:spacing w:val="0"/>
          <w:w w:val="100"/>
          <w:position w:val="0"/>
          <w:sz w:val="30"/>
          <w:szCs w:val="30"/>
        </w:rPr>
      </w:pPr>
    </w:p>
    <w:p w14:paraId="3366251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rFonts w:hint="eastAsia" w:ascii="宋体" w:hAnsi="宋体" w:eastAsia="宋体" w:cs="宋体"/>
          <w:b w:val="0"/>
          <w:bCs w:val="0"/>
          <w:color w:val="auto"/>
          <w:spacing w:val="0"/>
          <w:w w:val="100"/>
          <w:position w:val="0"/>
          <w:sz w:val="30"/>
          <w:szCs w:val="30"/>
        </w:rPr>
      </w:pPr>
    </w:p>
    <w:p w14:paraId="1AEC4187">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宋体" w:hAnsi="宋体" w:eastAsia="宋体" w:cs="宋体"/>
          <w:b w:val="0"/>
          <w:bCs w:val="0"/>
          <w:color w:val="auto"/>
          <w:spacing w:val="0"/>
          <w:w w:val="100"/>
          <w:position w:val="0"/>
          <w:sz w:val="30"/>
          <w:szCs w:val="30"/>
        </w:rPr>
      </w:pPr>
    </w:p>
    <w:p w14:paraId="0CF85F48">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宋体" w:hAnsi="宋体" w:eastAsia="宋体" w:cs="宋体"/>
          <w:b w:val="0"/>
          <w:bCs w:val="0"/>
          <w:color w:val="auto"/>
          <w:spacing w:val="0"/>
          <w:w w:val="100"/>
          <w:position w:val="0"/>
          <w:sz w:val="30"/>
          <w:szCs w:val="30"/>
        </w:rPr>
      </w:pPr>
    </w:p>
    <w:p w14:paraId="0ABB4D2B">
      <w:pPr>
        <w:keepNext w:val="0"/>
        <w:keepLines w:val="0"/>
        <w:pageBreakBefore w:val="0"/>
        <w:kinsoku/>
        <w:wordWrap/>
        <w:overflowPunct/>
        <w:topLinePunct w:val="0"/>
        <w:autoSpaceDE/>
        <w:autoSpaceDN/>
        <w:bidi w:val="0"/>
        <w:adjustRightInd/>
        <w:snapToGrid/>
        <w:spacing w:line="560" w:lineRule="exact"/>
        <w:textAlignment w:val="baseline"/>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pPr>
    </w:p>
    <w:p w14:paraId="11D0769E">
      <w:pPr>
        <w:keepNext w:val="0"/>
        <w:keepLines w:val="0"/>
        <w:pageBreakBefore w:val="0"/>
        <w:kinsoku/>
        <w:wordWrap/>
        <w:overflowPunct/>
        <w:topLinePunct w:val="0"/>
        <w:autoSpaceDE/>
        <w:autoSpaceDN/>
        <w:bidi w:val="0"/>
        <w:adjustRightInd/>
        <w:snapToGrid/>
        <w:spacing w:line="560" w:lineRule="exact"/>
        <w:ind w:firstLine="1600" w:firstLineChars="500"/>
        <w:jc w:val="both"/>
        <w:textAlignment w:val="baseline"/>
        <w:rPr>
          <w:rFonts w:hint="eastAsia" w:ascii="宋体" w:hAnsi="宋体" w:eastAsia="宋体" w:cs="宋体"/>
          <w:b w:val="0"/>
          <w:bCs w:val="0"/>
          <w:color w:val="000000" w:themeColor="text1"/>
          <w:kern w:val="2"/>
          <w:sz w:val="32"/>
          <w:szCs w:val="32"/>
          <w:u w:val="singl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甲方：</w:t>
      </w:r>
      <w:r>
        <w:rPr>
          <w:rFonts w:hint="eastAsia" w:ascii="宋体" w:hAnsi="宋体" w:eastAsia="宋体" w:cs="宋体"/>
          <w:b w:val="0"/>
          <w:bCs w:val="0"/>
          <w:color w:val="000000" w:themeColor="text1"/>
          <w:kern w:val="2"/>
          <w:sz w:val="32"/>
          <w:szCs w:val="32"/>
          <w:u w:val="single"/>
          <w:lang w:val="en-US" w:eastAsia="zh-CN" w:bidi="ar-SA"/>
          <w14:textFill>
            <w14:solidFill>
              <w14:schemeClr w14:val="tx1"/>
            </w14:solidFill>
          </w14:textFill>
        </w:rPr>
        <w:t>西安市雁塔区疾病预防控制中心</w:t>
      </w:r>
    </w:p>
    <w:p w14:paraId="5B9A1EB5">
      <w:pPr>
        <w:keepNext w:val="0"/>
        <w:keepLines w:val="0"/>
        <w:pageBreakBefore w:val="0"/>
        <w:kinsoku/>
        <w:wordWrap/>
        <w:overflowPunct/>
        <w:topLinePunct w:val="0"/>
        <w:autoSpaceDE/>
        <w:autoSpaceDN/>
        <w:bidi w:val="0"/>
        <w:adjustRightInd/>
        <w:snapToGrid/>
        <w:spacing w:line="560" w:lineRule="exact"/>
        <w:ind w:firstLine="1600" w:firstLineChars="500"/>
        <w:textAlignment w:val="baseline"/>
        <w:rPr>
          <w:rFonts w:hint="default" w:ascii="宋体" w:hAnsi="宋体" w:eastAsia="宋体" w:cs="宋体"/>
          <w:b w:val="0"/>
          <w:bCs w:val="0"/>
          <w:color w:val="000000" w:themeColor="text1"/>
          <w:kern w:val="2"/>
          <w:sz w:val="32"/>
          <w:szCs w:val="32"/>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32"/>
          <w:szCs w:val="32"/>
          <w:lang w:val="en-US" w:eastAsia="zh-CN" w:bidi="ar-SA"/>
          <w14:textFill>
            <w14:solidFill>
              <w14:schemeClr w14:val="tx1"/>
            </w14:solidFill>
          </w14:textFill>
        </w:rPr>
        <w:t>乙方：</w:t>
      </w:r>
      <w:r>
        <w:rPr>
          <w:rFonts w:hint="eastAsia" w:ascii="宋体" w:hAnsi="宋体" w:eastAsia="宋体" w:cs="宋体"/>
          <w:b w:val="0"/>
          <w:bCs w:val="0"/>
          <w:color w:val="000000" w:themeColor="text1"/>
          <w:kern w:val="2"/>
          <w:sz w:val="32"/>
          <w:szCs w:val="32"/>
          <w:u w:val="single"/>
          <w:lang w:val="en-US" w:eastAsia="zh-CN" w:bidi="ar-SA"/>
          <w14:textFill>
            <w14:solidFill>
              <w14:schemeClr w14:val="tx1"/>
            </w14:solidFill>
          </w14:textFill>
        </w:rPr>
        <w:t xml:space="preserve">                            </w:t>
      </w:r>
    </w:p>
    <w:p w14:paraId="6CBCDB42">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1800" w:firstLineChars="600"/>
        <w:jc w:val="both"/>
        <w:textAlignment w:val="auto"/>
        <w:outlineLvl w:val="9"/>
        <w:rPr>
          <w:rFonts w:hint="eastAsia" w:ascii="宋体" w:hAnsi="宋体" w:eastAsia="宋体" w:cs="宋体"/>
          <w:b w:val="0"/>
          <w:bCs w:val="0"/>
          <w:color w:val="auto"/>
          <w:spacing w:val="0"/>
          <w:w w:val="100"/>
          <w:position w:val="0"/>
          <w:sz w:val="30"/>
          <w:szCs w:val="30"/>
          <w:lang w:eastAsia="zh-CN"/>
        </w:rPr>
      </w:pPr>
    </w:p>
    <w:p w14:paraId="16E0EEE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1800" w:firstLineChars="600"/>
        <w:jc w:val="both"/>
        <w:textAlignment w:val="auto"/>
        <w:outlineLvl w:val="9"/>
        <w:rPr>
          <w:rFonts w:hint="eastAsia" w:ascii="宋体" w:hAnsi="宋体" w:eastAsia="宋体" w:cs="宋体"/>
          <w:b w:val="0"/>
          <w:bCs w:val="0"/>
          <w:color w:val="auto"/>
          <w:spacing w:val="0"/>
          <w:w w:val="100"/>
          <w:position w:val="0"/>
          <w:sz w:val="30"/>
          <w:szCs w:val="30"/>
          <w:lang w:eastAsia="zh-CN"/>
        </w:rPr>
      </w:pPr>
    </w:p>
    <w:p w14:paraId="64E7B0A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rFonts w:hint="eastAsia" w:ascii="宋体" w:hAnsi="宋体" w:eastAsia="宋体" w:cs="宋体"/>
          <w:b w:val="0"/>
          <w:bCs w:val="0"/>
          <w:color w:val="auto"/>
          <w:spacing w:val="0"/>
          <w:w w:val="100"/>
          <w:position w:val="0"/>
          <w:sz w:val="30"/>
          <w:szCs w:val="30"/>
        </w:rPr>
      </w:pPr>
    </w:p>
    <w:p w14:paraId="7283B811">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default" w:ascii="宋体" w:hAnsi="宋体" w:eastAsia="宋体" w:cs="宋体"/>
          <w:b w:val="0"/>
          <w:bCs w:val="0"/>
          <w:color w:val="auto"/>
          <w:spacing w:val="0"/>
          <w:w w:val="100"/>
          <w:position w:val="0"/>
          <w:sz w:val="30"/>
          <w:szCs w:val="30"/>
          <w:lang w:val="en-US" w:eastAsia="zh-CN"/>
        </w:rPr>
      </w:pPr>
      <w:r>
        <w:rPr>
          <w:rFonts w:hint="eastAsia" w:ascii="宋体" w:hAnsi="宋体" w:eastAsia="宋体" w:cs="宋体"/>
          <w:b w:val="0"/>
          <w:bCs w:val="0"/>
          <w:color w:val="auto"/>
          <w:spacing w:val="0"/>
          <w:w w:val="100"/>
          <w:position w:val="0"/>
          <w:sz w:val="30"/>
          <w:szCs w:val="30"/>
          <w:lang w:val="en-US" w:eastAsia="zh-CN"/>
        </w:rPr>
        <w:t>202</w:t>
      </w:r>
      <w:r>
        <w:rPr>
          <w:rFonts w:hint="eastAsia" w:cs="宋体"/>
          <w:b w:val="0"/>
          <w:bCs w:val="0"/>
          <w:color w:val="auto"/>
          <w:spacing w:val="0"/>
          <w:w w:val="100"/>
          <w:position w:val="0"/>
          <w:sz w:val="30"/>
          <w:szCs w:val="30"/>
          <w:lang w:val="en-US" w:eastAsia="zh-CN"/>
        </w:rPr>
        <w:t>6</w:t>
      </w:r>
      <w:r>
        <w:rPr>
          <w:rFonts w:hint="eastAsia" w:ascii="宋体" w:hAnsi="宋体" w:eastAsia="宋体" w:cs="宋体"/>
          <w:b w:val="0"/>
          <w:bCs w:val="0"/>
          <w:color w:val="auto"/>
          <w:spacing w:val="0"/>
          <w:w w:val="100"/>
          <w:position w:val="0"/>
          <w:sz w:val="30"/>
          <w:szCs w:val="30"/>
          <w:lang w:val="en-US" w:eastAsia="zh-CN"/>
        </w:rPr>
        <w:t>年</w:t>
      </w:r>
      <w:r>
        <w:rPr>
          <w:rFonts w:hint="eastAsia" w:ascii="宋体" w:hAnsi="宋体" w:eastAsia="宋体" w:cs="宋体"/>
          <w:b w:val="0"/>
          <w:bCs w:val="0"/>
          <w:color w:val="auto"/>
          <w:spacing w:val="0"/>
          <w:w w:val="100"/>
          <w:position w:val="0"/>
          <w:sz w:val="30"/>
          <w:szCs w:val="30"/>
          <w:u w:val="single"/>
          <w:lang w:val="en-US" w:eastAsia="zh-CN"/>
        </w:rPr>
        <w:t xml:space="preserve">   </w:t>
      </w:r>
      <w:r>
        <w:rPr>
          <w:rFonts w:hint="eastAsia" w:ascii="宋体" w:hAnsi="宋体" w:eastAsia="宋体" w:cs="宋体"/>
          <w:b w:val="0"/>
          <w:bCs w:val="0"/>
          <w:color w:val="auto"/>
          <w:spacing w:val="0"/>
          <w:w w:val="100"/>
          <w:position w:val="0"/>
          <w:sz w:val="30"/>
          <w:szCs w:val="30"/>
          <w:lang w:val="en-US" w:eastAsia="zh-CN"/>
        </w:rPr>
        <w:t>月</w:t>
      </w:r>
    </w:p>
    <w:p w14:paraId="728ED63E">
      <w:pPr>
        <w:keepNext w:val="0"/>
        <w:keepLines w:val="0"/>
        <w:pageBreakBefore w:val="0"/>
        <w:kinsoku/>
        <w:wordWrap/>
        <w:overflowPunct/>
        <w:topLinePunct w:val="0"/>
        <w:autoSpaceDE/>
        <w:autoSpaceDN/>
        <w:bidi w:val="0"/>
        <w:adjustRightInd/>
        <w:snapToGrid/>
        <w:spacing w:line="560" w:lineRule="exact"/>
        <w:ind w:firstLine="480" w:firstLineChars="200"/>
        <w:textAlignment w:val="baseline"/>
        <w:rPr>
          <w:rFonts w:hint="eastAsia" w:ascii="宋体" w:hAnsi="宋体" w:eastAsia="宋体" w:cs="宋体"/>
          <w:b w:val="0"/>
          <w:bCs w:val="0"/>
          <w:color w:val="000000" w:themeColor="text1"/>
          <w:kern w:val="2"/>
          <w:sz w:val="24"/>
          <w:szCs w:val="24"/>
          <w:u w:val="singl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甲方：</w:t>
      </w:r>
      <w:r>
        <w:rPr>
          <w:rFonts w:hint="eastAsia" w:ascii="宋体" w:hAnsi="宋体" w:eastAsia="宋体" w:cs="宋体"/>
          <w:b w:val="0"/>
          <w:bCs w:val="0"/>
          <w:color w:val="000000" w:themeColor="text1"/>
          <w:kern w:val="2"/>
          <w:sz w:val="24"/>
          <w:szCs w:val="24"/>
          <w:u w:val="single"/>
          <w:lang w:val="en-US" w:eastAsia="zh-CN" w:bidi="ar-SA"/>
          <w14:textFill>
            <w14:solidFill>
              <w14:schemeClr w14:val="tx1"/>
            </w14:solidFill>
          </w14:textFill>
        </w:rPr>
        <w:t>西安市雁塔区疾病预防控制中心</w:t>
      </w:r>
    </w:p>
    <w:p w14:paraId="003BE37D">
      <w:pPr>
        <w:keepNext w:val="0"/>
        <w:keepLines w:val="0"/>
        <w:pageBreakBefore w:val="0"/>
        <w:kinsoku/>
        <w:wordWrap/>
        <w:overflowPunct/>
        <w:topLinePunct w:val="0"/>
        <w:autoSpaceDE/>
        <w:autoSpaceDN/>
        <w:bidi w:val="0"/>
        <w:adjustRightInd/>
        <w:snapToGrid/>
        <w:spacing w:line="560" w:lineRule="exact"/>
        <w:ind w:firstLine="480" w:firstLineChars="200"/>
        <w:textAlignment w:val="baseline"/>
        <w:rPr>
          <w:rFonts w:hint="default"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乙方：</w:t>
      </w:r>
      <w:r>
        <w:rPr>
          <w:rFonts w:hint="eastAsia" w:ascii="宋体" w:hAnsi="宋体" w:eastAsia="宋体" w:cs="宋体"/>
          <w:b w:val="0"/>
          <w:bCs w:val="0"/>
          <w:color w:val="000000" w:themeColor="text1"/>
          <w:kern w:val="2"/>
          <w:sz w:val="24"/>
          <w:szCs w:val="24"/>
          <w:u w:val="single"/>
          <w:lang w:val="en-US" w:eastAsia="zh-CN" w:bidi="ar-SA"/>
          <w14:textFill>
            <w14:solidFill>
              <w14:schemeClr w14:val="tx1"/>
            </w14:solidFill>
          </w14:textFill>
        </w:rPr>
        <w:t xml:space="preserve">                            </w:t>
      </w:r>
    </w:p>
    <w:p w14:paraId="1ECF94A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根据</w:t>
      </w:r>
      <w:r>
        <w:rPr>
          <w:rFonts w:hint="eastAsia" w:ascii="宋体" w:hAnsi="宋体" w:eastAsia="宋体" w:cs="宋体"/>
          <w:b w:val="0"/>
          <w:bCs w:val="0"/>
          <w:color w:val="000000" w:themeColor="text1"/>
          <w:sz w:val="24"/>
          <w:szCs w:val="24"/>
          <w14:textFill>
            <w14:solidFill>
              <w14:schemeClr w14:val="tx1"/>
            </w14:solidFill>
          </w14:textFill>
        </w:rPr>
        <w:t>《中华人民共和国</w:t>
      </w:r>
      <w:r>
        <w:rPr>
          <w:rFonts w:hint="eastAsia" w:ascii="宋体" w:hAnsi="宋体" w:eastAsia="宋体" w:cs="宋体"/>
          <w:b w:val="0"/>
          <w:bCs w:val="0"/>
          <w:color w:val="000000" w:themeColor="text1"/>
          <w:sz w:val="24"/>
          <w:szCs w:val="24"/>
          <w:lang w:eastAsia="zh-CN"/>
          <w14:textFill>
            <w14:solidFill>
              <w14:schemeClr w14:val="tx1"/>
            </w14:solidFill>
          </w14:textFill>
        </w:rPr>
        <w:t>民法典</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《中华人民共和国</w:t>
      </w:r>
      <w:r>
        <w:rPr>
          <w:rFonts w:hint="eastAsia" w:ascii="宋体" w:hAnsi="宋体" w:eastAsia="宋体" w:cs="宋体"/>
          <w:b w:val="0"/>
          <w:bCs w:val="0"/>
          <w:color w:val="000000" w:themeColor="text1"/>
          <w:sz w:val="24"/>
          <w:szCs w:val="24"/>
          <w:lang w:val="en-US" w:eastAsia="zh-CN"/>
          <w14:textFill>
            <w14:solidFill>
              <w14:schemeClr w14:val="tx1"/>
            </w14:solidFill>
          </w14:textFill>
        </w:rPr>
        <w:t>政府采购法</w:t>
      </w:r>
      <w:r>
        <w:rPr>
          <w:rFonts w:hint="eastAsia" w:ascii="宋体" w:hAnsi="宋体" w:eastAsia="宋体" w:cs="宋体"/>
          <w:b w:val="0"/>
          <w:bCs w:val="0"/>
          <w:color w:val="000000" w:themeColor="text1"/>
          <w:sz w:val="24"/>
          <w:szCs w:val="24"/>
          <w14:textFill>
            <w14:solidFill>
              <w14:schemeClr w14:val="tx1"/>
            </w14:solidFill>
          </w14:textFill>
        </w:rPr>
        <w:t>》及相关法律、法规的规定，</w:t>
      </w:r>
      <w:r>
        <w:rPr>
          <w:rFonts w:hint="eastAsia" w:ascii="宋体" w:hAnsi="宋体" w:eastAsia="宋体" w:cs="宋体"/>
          <w:b w:val="0"/>
          <w:bCs w:val="0"/>
          <w:color w:val="000000" w:themeColor="text1"/>
          <w:sz w:val="24"/>
          <w:szCs w:val="24"/>
          <w:lang w:eastAsia="zh-CN"/>
          <w14:textFill>
            <w14:solidFill>
              <w14:schemeClr w14:val="tx1"/>
            </w14:solidFill>
          </w14:textFill>
        </w:rPr>
        <w:t>就乙方为</w:t>
      </w:r>
      <w:r>
        <w:rPr>
          <w:rFonts w:hint="eastAsia" w:ascii="宋体" w:hAnsi="宋体" w:eastAsia="宋体" w:cs="宋体"/>
          <w:b w:val="0"/>
          <w:bCs w:val="0"/>
          <w:color w:val="000000" w:themeColor="text1"/>
          <w:sz w:val="24"/>
          <w:szCs w:val="24"/>
          <w14:textFill>
            <w14:solidFill>
              <w14:schemeClr w14:val="tx1"/>
            </w14:solidFill>
          </w14:textFill>
        </w:rPr>
        <w:t>甲方</w:t>
      </w:r>
      <w:r>
        <w:rPr>
          <w:rFonts w:hint="eastAsia" w:ascii="宋体" w:hAnsi="宋体" w:eastAsia="宋体" w:cs="宋体"/>
          <w:b w:val="0"/>
          <w:bCs w:val="0"/>
          <w:color w:val="000000" w:themeColor="text1"/>
          <w:sz w:val="24"/>
          <w:szCs w:val="24"/>
          <w:lang w:eastAsia="zh-CN"/>
          <w14:textFill>
            <w14:solidFill>
              <w14:schemeClr w14:val="tx1"/>
            </w14:solidFill>
          </w14:textFill>
        </w:rPr>
        <w:t>职工食堂食材配送服务</w:t>
      </w:r>
      <w:r>
        <w:rPr>
          <w:rFonts w:hint="eastAsia" w:ascii="宋体" w:hAnsi="宋体" w:eastAsia="宋体" w:cs="宋体"/>
          <w:b w:val="0"/>
          <w:bCs w:val="0"/>
          <w:color w:val="000000" w:themeColor="text1"/>
          <w:sz w:val="24"/>
          <w:szCs w:val="24"/>
          <w:lang w:val="en-US" w:eastAsia="zh-CN"/>
          <w14:textFill>
            <w14:solidFill>
              <w14:schemeClr w14:val="tx1"/>
            </w14:solidFill>
          </w14:textFill>
        </w:rPr>
        <w:t>项目</w:t>
      </w:r>
      <w:r>
        <w:rPr>
          <w:rFonts w:hint="eastAsia" w:ascii="宋体" w:hAnsi="宋体" w:eastAsia="宋体" w:cs="宋体"/>
          <w:b w:val="0"/>
          <w:bCs w:val="0"/>
          <w:color w:val="000000" w:themeColor="text1"/>
          <w:sz w:val="24"/>
          <w:szCs w:val="24"/>
          <w:lang w:eastAsia="zh-CN"/>
          <w14:textFill>
            <w14:solidFill>
              <w14:schemeClr w14:val="tx1"/>
            </w14:solidFill>
          </w14:textFill>
        </w:rPr>
        <w:t>订立本合同</w:t>
      </w:r>
      <w:r>
        <w:rPr>
          <w:rFonts w:hint="eastAsia" w:ascii="宋体" w:hAnsi="宋体" w:eastAsia="宋体" w:cs="宋体"/>
          <w:b w:val="0"/>
          <w:bCs w:val="0"/>
          <w:color w:val="000000" w:themeColor="text1"/>
          <w:sz w:val="24"/>
          <w:szCs w:val="24"/>
          <w14:textFill>
            <w14:solidFill>
              <w14:schemeClr w14:val="tx1"/>
            </w14:solidFill>
          </w14:textFill>
        </w:rPr>
        <w:t>，双方共同遵守。</w:t>
      </w:r>
    </w:p>
    <w:p w14:paraId="75C1C338">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pacing w:val="0"/>
          <w:w w:val="100"/>
          <w:position w:val="0"/>
          <w:sz w:val="24"/>
          <w:szCs w:val="24"/>
        </w:rPr>
        <w:t>一、合同标的物内容</w:t>
      </w:r>
    </w:p>
    <w:tbl>
      <w:tblPr>
        <w:tblStyle w:val="5"/>
        <w:tblW w:w="0" w:type="auto"/>
        <w:jc w:val="center"/>
        <w:tblLayout w:type="autofit"/>
        <w:tblCellMar>
          <w:top w:w="0" w:type="dxa"/>
          <w:left w:w="10" w:type="dxa"/>
          <w:bottom w:w="0" w:type="dxa"/>
          <w:right w:w="10" w:type="dxa"/>
        </w:tblCellMar>
      </w:tblPr>
      <w:tblGrid>
        <w:gridCol w:w="874"/>
        <w:gridCol w:w="1132"/>
        <w:gridCol w:w="1730"/>
        <w:gridCol w:w="1382"/>
        <w:gridCol w:w="2157"/>
        <w:gridCol w:w="1051"/>
      </w:tblGrid>
      <w:tr w14:paraId="07CBB8C1">
        <w:tblPrEx>
          <w:tblCellMar>
            <w:top w:w="0" w:type="dxa"/>
            <w:left w:w="10" w:type="dxa"/>
            <w:bottom w:w="0" w:type="dxa"/>
            <w:right w:w="10" w:type="dxa"/>
          </w:tblCellMar>
        </w:tblPrEx>
        <w:trPr>
          <w:trHeight w:val="1025" w:hRule="exact"/>
          <w:jc w:val="center"/>
        </w:trPr>
        <w:tc>
          <w:tcPr>
            <w:tcW w:w="874" w:type="dxa"/>
            <w:tcBorders>
              <w:top w:val="single" w:color="auto" w:sz="4" w:space="0"/>
              <w:left w:val="single" w:color="auto" w:sz="4" w:space="0"/>
            </w:tcBorders>
            <w:shd w:val="clear" w:color="auto" w:fill="FFFFFF"/>
            <w:noWrap w:val="0"/>
            <w:vAlign w:val="center"/>
          </w:tcPr>
          <w:p w14:paraId="247EAA7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序号</w:t>
            </w:r>
          </w:p>
        </w:tc>
        <w:tc>
          <w:tcPr>
            <w:tcW w:w="1132" w:type="dxa"/>
            <w:tcBorders>
              <w:top w:val="single" w:color="auto" w:sz="4" w:space="0"/>
              <w:left w:val="single" w:color="auto" w:sz="4" w:space="0"/>
            </w:tcBorders>
            <w:shd w:val="clear" w:color="auto" w:fill="FFFFFF"/>
            <w:noWrap w:val="0"/>
            <w:vAlign w:val="center"/>
          </w:tcPr>
          <w:p w14:paraId="351FFAB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rPr>
            </w:pPr>
            <w:r>
              <w:rPr>
                <w:rFonts w:hint="eastAsia" w:cs="宋体"/>
                <w:b w:val="0"/>
                <w:bCs w:val="0"/>
                <w:color w:val="auto"/>
                <w:spacing w:val="0"/>
                <w:w w:val="100"/>
                <w:position w:val="0"/>
                <w:sz w:val="24"/>
                <w:szCs w:val="24"/>
                <w:lang w:val="en-US" w:eastAsia="zh-CN"/>
              </w:rPr>
              <w:t>采购</w:t>
            </w:r>
            <w:r>
              <w:rPr>
                <w:rFonts w:hint="eastAsia" w:ascii="宋体" w:hAnsi="宋体" w:eastAsia="宋体" w:cs="宋体"/>
                <w:b w:val="0"/>
                <w:bCs w:val="0"/>
                <w:color w:val="auto"/>
                <w:spacing w:val="0"/>
                <w:w w:val="100"/>
                <w:position w:val="0"/>
                <w:sz w:val="24"/>
                <w:szCs w:val="24"/>
                <w:lang w:val="en-US" w:eastAsia="zh-CN"/>
              </w:rPr>
              <w:t>内容</w:t>
            </w:r>
          </w:p>
        </w:tc>
        <w:tc>
          <w:tcPr>
            <w:tcW w:w="1730" w:type="dxa"/>
            <w:tcBorders>
              <w:top w:val="single" w:color="auto" w:sz="4" w:space="0"/>
              <w:left w:val="single" w:color="auto" w:sz="4" w:space="0"/>
            </w:tcBorders>
            <w:shd w:val="clear" w:color="auto" w:fill="FFFFFF"/>
            <w:noWrap w:val="0"/>
            <w:vAlign w:val="center"/>
          </w:tcPr>
          <w:p w14:paraId="327FC61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lang w:val="en-US" w:eastAsia="zh-CN"/>
              </w:rPr>
            </w:pPr>
            <w:r>
              <w:rPr>
                <w:rFonts w:hint="eastAsia" w:cs="宋体"/>
                <w:b w:val="0"/>
                <w:bCs w:val="0"/>
                <w:color w:val="auto"/>
                <w:spacing w:val="0"/>
                <w:w w:val="100"/>
                <w:position w:val="0"/>
                <w:sz w:val="24"/>
                <w:szCs w:val="24"/>
                <w:lang w:val="en-US" w:eastAsia="zh-CN"/>
              </w:rPr>
              <w:t>采购明细</w:t>
            </w:r>
          </w:p>
        </w:tc>
        <w:tc>
          <w:tcPr>
            <w:tcW w:w="1382" w:type="dxa"/>
            <w:tcBorders>
              <w:top w:val="single" w:color="auto" w:sz="4" w:space="0"/>
              <w:left w:val="single" w:color="auto" w:sz="4" w:space="0"/>
            </w:tcBorders>
            <w:shd w:val="clear" w:color="auto" w:fill="FFFFFF"/>
            <w:noWrap w:val="0"/>
            <w:vAlign w:val="center"/>
          </w:tcPr>
          <w:p w14:paraId="04F6C8BC">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pacing w:val="0"/>
                <w:w w:val="100"/>
                <w:position w:val="0"/>
                <w:sz w:val="24"/>
                <w:szCs w:val="24"/>
                <w:lang w:val="en-US" w:eastAsia="zh-CN"/>
              </w:rPr>
              <w:t>计量单位</w:t>
            </w:r>
          </w:p>
        </w:tc>
        <w:tc>
          <w:tcPr>
            <w:tcW w:w="2157" w:type="dxa"/>
            <w:tcBorders>
              <w:top w:val="single" w:color="auto" w:sz="4" w:space="0"/>
              <w:left w:val="single" w:color="auto" w:sz="4" w:space="0"/>
            </w:tcBorders>
            <w:shd w:val="clear" w:color="auto" w:fill="FFFFFF"/>
            <w:noWrap w:val="0"/>
            <w:vAlign w:val="center"/>
          </w:tcPr>
          <w:p w14:paraId="5A5487C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lang w:val="en-US" w:eastAsia="zh-CN"/>
              </w:rPr>
            </w:pPr>
            <w:r>
              <w:rPr>
                <w:rFonts w:hint="eastAsia" w:cs="宋体"/>
                <w:b w:val="0"/>
                <w:bCs w:val="0"/>
                <w:color w:val="auto"/>
                <w:sz w:val="24"/>
                <w:szCs w:val="24"/>
                <w:lang w:val="en-US" w:eastAsia="zh-CN"/>
              </w:rPr>
              <w:t>服务期</w:t>
            </w:r>
          </w:p>
        </w:tc>
        <w:tc>
          <w:tcPr>
            <w:tcW w:w="1051" w:type="dxa"/>
            <w:tcBorders>
              <w:top w:val="single" w:color="auto" w:sz="4" w:space="0"/>
              <w:left w:val="single" w:color="auto" w:sz="4" w:space="0"/>
              <w:right w:val="single" w:color="auto" w:sz="4" w:space="0"/>
            </w:tcBorders>
            <w:shd w:val="clear" w:color="auto" w:fill="FFFFFF"/>
            <w:noWrap w:val="0"/>
            <w:vAlign w:val="center"/>
          </w:tcPr>
          <w:p w14:paraId="7970655E">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rightChars="0" w:firstLine="0" w:firstLineChars="0"/>
              <w:jc w:val="center"/>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z w:val="24"/>
                <w:szCs w:val="24"/>
                <w:lang w:val="en-US" w:eastAsia="zh-CN"/>
              </w:rPr>
              <w:t>数量</w:t>
            </w:r>
          </w:p>
        </w:tc>
      </w:tr>
      <w:tr w14:paraId="3DCEA929">
        <w:tblPrEx>
          <w:tblCellMar>
            <w:top w:w="0" w:type="dxa"/>
            <w:left w:w="10" w:type="dxa"/>
            <w:bottom w:w="0" w:type="dxa"/>
            <w:right w:w="10" w:type="dxa"/>
          </w:tblCellMar>
        </w:tblPrEx>
        <w:trPr>
          <w:trHeight w:val="7224" w:hRule="exact"/>
          <w:jc w:val="center"/>
        </w:trPr>
        <w:tc>
          <w:tcPr>
            <w:tcW w:w="874" w:type="dxa"/>
            <w:tcBorders>
              <w:top w:val="single" w:color="auto" w:sz="4" w:space="0"/>
              <w:left w:val="single" w:color="auto" w:sz="4" w:space="0"/>
            </w:tcBorders>
            <w:shd w:val="clear" w:color="auto" w:fill="FFFFFF"/>
            <w:noWrap w:val="0"/>
            <w:vAlign w:val="center"/>
          </w:tcPr>
          <w:p w14:paraId="5F34B45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1</w:t>
            </w:r>
          </w:p>
        </w:tc>
        <w:tc>
          <w:tcPr>
            <w:tcW w:w="1132" w:type="dxa"/>
            <w:tcBorders>
              <w:top w:val="single" w:color="auto" w:sz="4" w:space="0"/>
              <w:left w:val="single" w:color="auto" w:sz="4" w:space="0"/>
            </w:tcBorders>
            <w:shd w:val="clear" w:color="auto" w:fill="FFFFFF"/>
            <w:noWrap w:val="0"/>
            <w:vAlign w:val="center"/>
          </w:tcPr>
          <w:p w14:paraId="283FBD2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auto"/>
                <w:spacing w:val="0"/>
                <w:w w:val="100"/>
                <w:position w:val="0"/>
                <w:sz w:val="24"/>
                <w:szCs w:val="24"/>
                <w:u w:val="none"/>
                <w:shd w:val="clear" w:color="auto" w:fill="auto"/>
                <w:lang w:val="en-US" w:eastAsia="zh-CN" w:bidi="zh-TW"/>
              </w:rPr>
            </w:pPr>
            <w:r>
              <w:rPr>
                <w:rFonts w:hint="eastAsia" w:ascii="宋体" w:hAnsi="宋体" w:eastAsia="宋体" w:cs="宋体"/>
                <w:b w:val="0"/>
                <w:bCs w:val="0"/>
                <w:color w:val="auto"/>
                <w:spacing w:val="0"/>
                <w:w w:val="100"/>
                <w:position w:val="0"/>
                <w:sz w:val="24"/>
                <w:szCs w:val="24"/>
                <w:u w:val="none"/>
                <w:shd w:val="clear" w:color="auto" w:fill="auto"/>
                <w:lang w:val="en-US" w:eastAsia="zh-CN" w:bidi="zh-TW"/>
              </w:rPr>
              <w:t>职工食堂食材配送服务</w:t>
            </w:r>
          </w:p>
        </w:tc>
        <w:tc>
          <w:tcPr>
            <w:tcW w:w="1730" w:type="dxa"/>
            <w:tcBorders>
              <w:top w:val="single" w:color="auto" w:sz="4" w:space="0"/>
              <w:left w:val="single" w:color="auto" w:sz="4" w:space="0"/>
            </w:tcBorders>
            <w:shd w:val="clear" w:color="auto" w:fill="FFFFFF"/>
            <w:noWrap w:val="0"/>
            <w:vAlign w:val="center"/>
          </w:tcPr>
          <w:p w14:paraId="7946F9F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default" w:ascii="宋体" w:hAnsi="宋体" w:eastAsia="宋体" w:cs="宋体"/>
                <w:b w:val="0"/>
                <w:bCs w:val="0"/>
                <w:color w:val="auto"/>
                <w:spacing w:val="0"/>
                <w:w w:val="100"/>
                <w:position w:val="0"/>
                <w:sz w:val="24"/>
                <w:szCs w:val="24"/>
                <w:u w:val="none"/>
                <w:shd w:val="clear" w:color="auto" w:fill="auto"/>
                <w:lang w:val="en-US" w:eastAsia="zh-CN" w:bidi="zh-TW"/>
              </w:rPr>
            </w:pPr>
            <w:r>
              <w:rPr>
                <w:rFonts w:hint="eastAsia" w:ascii="宋体" w:hAnsi="宋体" w:eastAsia="宋体" w:cs="宋体"/>
                <w:color w:val="auto"/>
                <w:sz w:val="24"/>
                <w:lang w:val="en-US" w:eastAsia="zh-CN"/>
              </w:rPr>
              <w:t>为甲方提供蔬菜、肉类、冷冻食品、豆制品、禽蛋类等相关食材配送服务</w:t>
            </w:r>
          </w:p>
        </w:tc>
        <w:tc>
          <w:tcPr>
            <w:tcW w:w="1382" w:type="dxa"/>
            <w:tcBorders>
              <w:top w:val="single" w:color="auto" w:sz="4" w:space="0"/>
              <w:left w:val="single" w:color="auto" w:sz="4" w:space="0"/>
            </w:tcBorders>
            <w:shd w:val="clear" w:color="auto" w:fill="FFFFFF"/>
            <w:noWrap w:val="0"/>
            <w:vAlign w:val="center"/>
          </w:tcPr>
          <w:p w14:paraId="57DA92D5">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auto"/>
                <w:spacing w:val="0"/>
                <w:w w:val="100"/>
                <w:position w:val="0"/>
                <w:sz w:val="24"/>
                <w:szCs w:val="24"/>
                <w:u w:val="none"/>
                <w:shd w:val="clear" w:color="auto" w:fill="auto"/>
                <w:lang w:val="en-US" w:eastAsia="zh-CN" w:bidi="zh-TW"/>
              </w:rPr>
            </w:pPr>
            <w:r>
              <w:rPr>
                <w:rFonts w:hint="eastAsia" w:hAnsi="宋体" w:eastAsia="宋体" w:cs="宋体"/>
                <w:b w:val="0"/>
                <w:bCs w:val="0"/>
                <w:color w:val="auto"/>
                <w:spacing w:val="0"/>
                <w:w w:val="100"/>
                <w:position w:val="0"/>
                <w:sz w:val="24"/>
                <w:szCs w:val="24"/>
                <w:u w:val="none"/>
                <w:shd w:val="clear" w:color="auto" w:fill="auto"/>
                <w:lang w:val="en-US" w:eastAsia="zh-CN" w:bidi="zh-TW"/>
              </w:rPr>
              <w:t>项</w:t>
            </w:r>
          </w:p>
        </w:tc>
        <w:tc>
          <w:tcPr>
            <w:tcW w:w="2157" w:type="dxa"/>
            <w:tcBorders>
              <w:top w:val="single" w:color="auto" w:sz="4" w:space="0"/>
              <w:left w:val="single" w:color="auto" w:sz="4" w:space="0"/>
            </w:tcBorders>
            <w:shd w:val="clear" w:color="auto" w:fill="FFFFFF"/>
            <w:noWrap w:val="0"/>
            <w:vAlign w:val="center"/>
          </w:tcPr>
          <w:p w14:paraId="52A833BB">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default" w:ascii="宋体" w:hAnsi="宋体" w:eastAsia="宋体" w:cs="宋体"/>
                <w:b w:val="0"/>
                <w:bCs w:val="0"/>
                <w:color w:val="auto"/>
                <w:spacing w:val="0"/>
                <w:w w:val="100"/>
                <w:position w:val="0"/>
                <w:sz w:val="24"/>
                <w:szCs w:val="24"/>
                <w:u w:val="none"/>
                <w:shd w:val="clear" w:color="auto" w:fill="auto"/>
                <w:lang w:val="en-US" w:eastAsia="zh-CN" w:bidi="zh-TW"/>
              </w:rPr>
            </w:pPr>
            <w:r>
              <w:rPr>
                <w:rFonts w:hint="default" w:ascii="宋体" w:hAnsi="宋体" w:eastAsia="宋体" w:cs="宋体"/>
                <w:b w:val="0"/>
                <w:bCs w:val="0"/>
                <w:color w:val="auto"/>
                <w:spacing w:val="0"/>
                <w:w w:val="100"/>
                <w:position w:val="0"/>
                <w:sz w:val="24"/>
                <w:szCs w:val="24"/>
                <w:u w:val="none"/>
                <w:shd w:val="clear" w:color="auto" w:fill="auto"/>
                <w:lang w:val="en-US" w:eastAsia="zh-CN" w:bidi="zh-TW"/>
              </w:rPr>
              <w:t>自合同签订之日起一年，或累计结算金额到达采购预算，以先到达者为准。本项目采取一次招标二年沿用，实行一年一考核一验收一签合同（所提供服务质量经甲方绩效考评满意后，在采购内容不变、采购预算有保障、服务价格不变或降低的情况下，则双方可续签下年合同）。</w:t>
            </w:r>
          </w:p>
        </w:tc>
        <w:tc>
          <w:tcPr>
            <w:tcW w:w="1051" w:type="dxa"/>
            <w:tcBorders>
              <w:top w:val="single" w:color="auto" w:sz="4" w:space="0"/>
              <w:left w:val="single" w:color="auto" w:sz="4" w:space="0"/>
              <w:right w:val="single" w:color="auto" w:sz="4" w:space="0"/>
            </w:tcBorders>
            <w:shd w:val="clear" w:color="auto" w:fill="FFFFFF"/>
            <w:noWrap w:val="0"/>
            <w:vAlign w:val="center"/>
          </w:tcPr>
          <w:p w14:paraId="4A25423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宋体" w:hAnsi="宋体" w:eastAsia="宋体" w:cs="宋体"/>
                <w:b w:val="0"/>
                <w:bCs w:val="0"/>
                <w:color w:val="auto"/>
                <w:spacing w:val="0"/>
                <w:w w:val="100"/>
                <w:position w:val="0"/>
                <w:sz w:val="24"/>
                <w:szCs w:val="24"/>
                <w:u w:val="none"/>
                <w:shd w:val="clear" w:color="auto" w:fill="auto"/>
                <w:lang w:val="en-US" w:eastAsia="zh-CN" w:bidi="zh-TW"/>
              </w:rPr>
            </w:pPr>
            <w:r>
              <w:rPr>
                <w:rFonts w:hint="eastAsia" w:ascii="宋体" w:hAnsi="宋体" w:eastAsia="宋体" w:cs="宋体"/>
                <w:b w:val="0"/>
                <w:bCs w:val="0"/>
                <w:color w:val="auto"/>
                <w:spacing w:val="0"/>
                <w:w w:val="100"/>
                <w:position w:val="0"/>
                <w:sz w:val="24"/>
                <w:szCs w:val="24"/>
                <w:u w:val="none"/>
                <w:shd w:val="clear" w:color="auto" w:fill="auto"/>
                <w:lang w:val="en-US" w:eastAsia="zh-CN" w:bidi="zh-TW"/>
              </w:rPr>
              <w:t>1</w:t>
            </w:r>
          </w:p>
        </w:tc>
      </w:tr>
      <w:tr w14:paraId="185A3303">
        <w:tblPrEx>
          <w:tblCellMar>
            <w:top w:w="0" w:type="dxa"/>
            <w:left w:w="10" w:type="dxa"/>
            <w:bottom w:w="0" w:type="dxa"/>
            <w:right w:w="10" w:type="dxa"/>
          </w:tblCellMar>
        </w:tblPrEx>
        <w:trPr>
          <w:trHeight w:val="772" w:hRule="exact"/>
          <w:jc w:val="center"/>
        </w:trPr>
        <w:tc>
          <w:tcPr>
            <w:tcW w:w="874" w:type="dxa"/>
            <w:tcBorders>
              <w:top w:val="single" w:color="auto" w:sz="4" w:space="0"/>
              <w:left w:val="single" w:color="auto" w:sz="4" w:space="0"/>
            </w:tcBorders>
            <w:shd w:val="clear" w:color="auto" w:fill="FFFFFF"/>
            <w:noWrap w:val="0"/>
            <w:vAlign w:val="center"/>
          </w:tcPr>
          <w:p w14:paraId="5BAEDF54">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lang w:eastAsia="zh-CN"/>
              </w:rPr>
            </w:pPr>
            <w:r>
              <w:rPr>
                <w:rFonts w:hint="eastAsia" w:cs="宋体"/>
                <w:b w:val="0"/>
                <w:bCs w:val="0"/>
                <w:color w:val="auto"/>
                <w:spacing w:val="0"/>
                <w:w w:val="100"/>
                <w:position w:val="0"/>
                <w:sz w:val="24"/>
                <w:szCs w:val="24"/>
                <w:lang w:val="en-US" w:eastAsia="zh-CN"/>
              </w:rPr>
              <w:t>折扣率</w:t>
            </w:r>
          </w:p>
        </w:tc>
        <w:tc>
          <w:tcPr>
            <w:tcW w:w="7452" w:type="dxa"/>
            <w:gridSpan w:val="5"/>
            <w:tcBorders>
              <w:top w:val="single" w:color="auto" w:sz="4" w:space="0"/>
              <w:left w:val="single" w:color="auto" w:sz="4" w:space="0"/>
              <w:right w:val="single" w:color="auto" w:sz="4" w:space="0"/>
            </w:tcBorders>
            <w:shd w:val="clear" w:color="auto" w:fill="FFFFFF"/>
            <w:noWrap w:val="0"/>
            <w:vAlign w:val="top"/>
          </w:tcPr>
          <w:p w14:paraId="0F51165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pacing w:val="0"/>
                <w:w w:val="100"/>
                <w:position w:val="0"/>
                <w:sz w:val="24"/>
                <w:szCs w:val="24"/>
                <w:u w:val="single"/>
                <w:shd w:val="clear" w:color="auto" w:fill="auto"/>
                <w:lang w:val="en-US" w:eastAsia="zh-CN" w:bidi="zh-TW"/>
              </w:rPr>
              <w:t xml:space="preserve">       </w:t>
            </w:r>
            <w:r>
              <w:rPr>
                <w:rFonts w:hint="eastAsia" w:ascii="宋体" w:hAnsi="宋体" w:eastAsia="宋体" w:cs="宋体"/>
                <w:b w:val="0"/>
                <w:bCs w:val="0"/>
                <w:color w:val="auto"/>
                <w:spacing w:val="0"/>
                <w:w w:val="100"/>
                <w:position w:val="0"/>
                <w:sz w:val="24"/>
                <w:szCs w:val="24"/>
                <w:u w:val="none"/>
                <w:shd w:val="clear" w:color="auto" w:fill="auto"/>
                <w:lang w:val="en-US" w:eastAsia="zh-CN" w:bidi="zh-TW"/>
              </w:rPr>
              <w:t>%</w:t>
            </w:r>
            <w:bookmarkStart w:id="10" w:name="_GoBack"/>
            <w:bookmarkEnd w:id="10"/>
          </w:p>
        </w:tc>
      </w:tr>
      <w:tr w14:paraId="6703B1B7">
        <w:tblPrEx>
          <w:tblCellMar>
            <w:top w:w="0" w:type="dxa"/>
            <w:left w:w="10" w:type="dxa"/>
            <w:bottom w:w="0" w:type="dxa"/>
            <w:right w:w="10" w:type="dxa"/>
          </w:tblCellMar>
        </w:tblPrEx>
        <w:trPr>
          <w:trHeight w:val="794" w:hRule="exact"/>
          <w:jc w:val="center"/>
        </w:trPr>
        <w:tc>
          <w:tcPr>
            <w:tcW w:w="874" w:type="dxa"/>
            <w:tcBorders>
              <w:top w:val="single" w:color="auto" w:sz="4" w:space="0"/>
              <w:left w:val="single" w:color="auto" w:sz="4" w:space="0"/>
              <w:bottom w:val="single" w:color="auto" w:sz="4" w:space="0"/>
            </w:tcBorders>
            <w:shd w:val="clear" w:color="auto" w:fill="FFFFFF"/>
            <w:noWrap w:val="0"/>
            <w:vAlign w:val="center"/>
          </w:tcPr>
          <w:p w14:paraId="72FACEBC">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备注</w:t>
            </w:r>
          </w:p>
        </w:tc>
        <w:tc>
          <w:tcPr>
            <w:tcW w:w="7452" w:type="dxa"/>
            <w:gridSpan w:val="5"/>
            <w:tcBorders>
              <w:top w:val="single" w:color="auto" w:sz="4" w:space="0"/>
              <w:left w:val="single" w:color="auto" w:sz="4" w:space="0"/>
              <w:bottom w:val="single" w:color="auto" w:sz="4" w:space="0"/>
              <w:right w:val="single" w:color="auto" w:sz="4" w:space="0"/>
            </w:tcBorders>
            <w:shd w:val="clear" w:color="auto" w:fill="FFFFFF"/>
            <w:noWrap w:val="0"/>
            <w:vAlign w:val="top"/>
          </w:tcPr>
          <w:p w14:paraId="4AB45B97">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折扣率释义：如原价为100元，折扣率若为90%，实际结算为90元。</w:t>
            </w:r>
          </w:p>
          <w:p w14:paraId="1E30C367">
            <w:pPr>
              <w:pStyle w:val="2"/>
              <w:rPr>
                <w:rFonts w:hint="default"/>
                <w:lang w:val="en-US" w:eastAsia="zh-CN"/>
              </w:rPr>
            </w:pPr>
          </w:p>
        </w:tc>
      </w:tr>
    </w:tbl>
    <w:p w14:paraId="17A3D342">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pacing w:val="0"/>
          <w:w w:val="100"/>
          <w:position w:val="0"/>
          <w:sz w:val="24"/>
          <w:szCs w:val="24"/>
        </w:rPr>
        <w:t>二、</w:t>
      </w:r>
      <w:r>
        <w:rPr>
          <w:rFonts w:hint="eastAsia" w:cs="宋体"/>
          <w:b/>
          <w:bCs/>
          <w:color w:val="auto"/>
          <w:spacing w:val="0"/>
          <w:w w:val="100"/>
          <w:position w:val="0"/>
          <w:sz w:val="24"/>
          <w:szCs w:val="24"/>
          <w:lang w:val="en-US" w:eastAsia="zh-CN"/>
        </w:rPr>
        <w:t>服务</w:t>
      </w:r>
      <w:r>
        <w:rPr>
          <w:rFonts w:hint="eastAsia" w:ascii="宋体" w:hAnsi="宋体" w:eastAsia="宋体" w:cs="宋体"/>
          <w:b/>
          <w:bCs/>
          <w:color w:val="auto"/>
          <w:spacing w:val="0"/>
          <w:w w:val="100"/>
          <w:position w:val="0"/>
          <w:sz w:val="24"/>
          <w:szCs w:val="24"/>
          <w:lang w:val="en-US" w:eastAsia="zh-CN"/>
        </w:rPr>
        <w:t>条件</w:t>
      </w:r>
      <w:r>
        <w:rPr>
          <w:rFonts w:hint="eastAsia" w:ascii="宋体" w:hAnsi="宋体" w:eastAsia="宋体" w:cs="宋体"/>
          <w:b/>
          <w:bCs/>
          <w:color w:val="auto"/>
          <w:spacing w:val="0"/>
          <w:w w:val="100"/>
          <w:position w:val="0"/>
          <w:sz w:val="24"/>
          <w:szCs w:val="24"/>
        </w:rPr>
        <w:t>：</w:t>
      </w:r>
    </w:p>
    <w:p w14:paraId="09749C2D">
      <w:pPr>
        <w:pStyle w:val="9"/>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（一）</w:t>
      </w:r>
      <w:r>
        <w:rPr>
          <w:rFonts w:hint="eastAsia" w:cs="宋体"/>
          <w:b w:val="0"/>
          <w:bCs w:val="0"/>
          <w:color w:val="auto"/>
          <w:spacing w:val="0"/>
          <w:w w:val="100"/>
          <w:position w:val="0"/>
          <w:sz w:val="24"/>
          <w:szCs w:val="24"/>
          <w:lang w:val="en-US" w:eastAsia="zh-CN"/>
        </w:rPr>
        <w:t>服务</w:t>
      </w:r>
      <w:r>
        <w:rPr>
          <w:rFonts w:hint="eastAsia" w:ascii="宋体" w:hAnsi="宋体" w:eastAsia="宋体" w:cs="宋体"/>
          <w:b w:val="0"/>
          <w:bCs w:val="0"/>
          <w:color w:val="auto"/>
          <w:spacing w:val="0"/>
          <w:w w:val="100"/>
          <w:position w:val="0"/>
          <w:sz w:val="24"/>
          <w:szCs w:val="24"/>
        </w:rPr>
        <w:t>地点：</w:t>
      </w:r>
      <w:r>
        <w:rPr>
          <w:rFonts w:hint="eastAsia" w:ascii="宋体" w:hAnsi="宋体" w:eastAsia="宋体" w:cs="宋体"/>
          <w:b w:val="0"/>
          <w:bCs w:val="0"/>
          <w:color w:val="auto"/>
          <w:spacing w:val="0"/>
          <w:w w:val="100"/>
          <w:position w:val="0"/>
          <w:sz w:val="24"/>
          <w:szCs w:val="24"/>
          <w:u w:val="single"/>
        </w:rPr>
        <w:t>甲方指定地点</w:t>
      </w:r>
      <w:r>
        <w:rPr>
          <w:rFonts w:hint="eastAsia" w:ascii="宋体" w:hAnsi="宋体" w:eastAsia="宋体" w:cs="宋体"/>
          <w:b w:val="0"/>
          <w:bCs w:val="0"/>
          <w:color w:val="auto"/>
          <w:spacing w:val="0"/>
          <w:w w:val="100"/>
          <w:position w:val="0"/>
          <w:sz w:val="24"/>
          <w:szCs w:val="24"/>
        </w:rPr>
        <w:t>。</w:t>
      </w:r>
    </w:p>
    <w:p w14:paraId="3EF57163">
      <w:pPr>
        <w:pStyle w:val="11"/>
        <w:keepNext w:val="0"/>
        <w:keepLines w:val="0"/>
        <w:pageBreakBefore w:val="0"/>
        <w:widowControl w:val="0"/>
        <w:shd w:val="clear" w:color="auto" w:fill="auto"/>
        <w:tabs>
          <w:tab w:val="left" w:pos="1346"/>
          <w:tab w:val="left" w:pos="3133"/>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（二）</w:t>
      </w:r>
      <w:r>
        <w:rPr>
          <w:rFonts w:hint="eastAsia" w:cs="宋体"/>
          <w:b w:val="0"/>
          <w:bCs w:val="0"/>
          <w:color w:val="auto"/>
          <w:spacing w:val="0"/>
          <w:w w:val="100"/>
          <w:position w:val="0"/>
          <w:sz w:val="24"/>
          <w:szCs w:val="24"/>
          <w:lang w:val="en-US" w:eastAsia="zh-CN"/>
        </w:rPr>
        <w:t>服务</w:t>
      </w:r>
      <w:r>
        <w:rPr>
          <w:rFonts w:hint="eastAsia" w:cs="宋体"/>
          <w:b w:val="0"/>
          <w:bCs w:val="0"/>
          <w:color w:val="auto"/>
          <w:spacing w:val="0"/>
          <w:w w:val="100"/>
          <w:position w:val="0"/>
          <w:sz w:val="24"/>
          <w:szCs w:val="24"/>
          <w:lang w:eastAsia="zh-CN"/>
        </w:rPr>
        <w:t>期</w:t>
      </w: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u w:val="single"/>
        </w:rPr>
        <w:t>自合同签订之日起一年，或累计结算金额到达采购预算，以先到达者为准。本项目采取一次招标二年沿用，实行一年一考核一验收一签合同（所提供服务质量经甲方绩效考评满意后，在采购内容不变、采购预算有保障、服务价格不变或降低的情况下，则双方可续签下年合同）。</w:t>
      </w:r>
    </w:p>
    <w:p w14:paraId="150FEB9A">
      <w:pPr>
        <w:pStyle w:val="11"/>
        <w:keepNext w:val="0"/>
        <w:keepLines w:val="0"/>
        <w:pageBreakBefore w:val="0"/>
        <w:widowControl w:val="0"/>
        <w:shd w:val="clear" w:color="auto" w:fill="auto"/>
        <w:tabs>
          <w:tab w:val="left" w:pos="1346"/>
          <w:tab w:val="left" w:pos="3133"/>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u w:val="single"/>
        </w:rPr>
      </w:pP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lang w:eastAsia="zh-CN"/>
        </w:rPr>
        <w:t>三</w:t>
      </w:r>
      <w:r>
        <w:rPr>
          <w:rFonts w:hint="eastAsia" w:ascii="宋体" w:hAnsi="宋体" w:eastAsia="宋体" w:cs="宋体"/>
          <w:b w:val="0"/>
          <w:bCs w:val="0"/>
          <w:color w:val="auto"/>
          <w:spacing w:val="0"/>
          <w:w w:val="100"/>
          <w:position w:val="0"/>
          <w:sz w:val="24"/>
          <w:szCs w:val="24"/>
        </w:rPr>
        <w:t>）供货期：</w:t>
      </w:r>
      <w:r>
        <w:rPr>
          <w:rFonts w:hint="eastAsia" w:cs="宋体"/>
          <w:b w:val="0"/>
          <w:bCs w:val="0"/>
          <w:color w:val="auto"/>
          <w:spacing w:val="0"/>
          <w:w w:val="100"/>
          <w:position w:val="0"/>
          <w:sz w:val="24"/>
          <w:szCs w:val="24"/>
          <w:u w:val="single"/>
          <w:lang w:val="en-US" w:eastAsia="zh-CN"/>
        </w:rPr>
        <w:t xml:space="preserve"> 甲方每天下午20:00前向乙方下达第二天的订单，乙方次日6:30前送达</w:t>
      </w:r>
      <w:r>
        <w:rPr>
          <w:rFonts w:hint="eastAsia" w:ascii="宋体" w:hAnsi="宋体" w:eastAsia="宋体" w:cs="宋体"/>
          <w:b w:val="0"/>
          <w:bCs w:val="0"/>
          <w:color w:val="auto"/>
          <w:spacing w:val="0"/>
          <w:w w:val="100"/>
          <w:position w:val="0"/>
          <w:sz w:val="24"/>
          <w:szCs w:val="24"/>
          <w:u w:val="single"/>
        </w:rPr>
        <w:t>。</w:t>
      </w:r>
    </w:p>
    <w:p w14:paraId="4846EA35">
      <w:pPr>
        <w:pStyle w:val="9"/>
        <w:keepNext w:val="0"/>
        <w:keepLines w:val="0"/>
        <w:pageBreakBefore w:val="0"/>
        <w:widowControl w:val="0"/>
        <w:shd w:val="clear" w:color="auto" w:fill="auto"/>
        <w:tabs>
          <w:tab w:val="left" w:pos="1395"/>
        </w:tabs>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pacing w:val="0"/>
          <w:w w:val="100"/>
          <w:position w:val="0"/>
          <w:sz w:val="24"/>
          <w:szCs w:val="24"/>
        </w:rPr>
        <w:t>三、合同价款</w:t>
      </w:r>
    </w:p>
    <w:p w14:paraId="724FCD65">
      <w:pPr>
        <w:pStyle w:val="9"/>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（一）</w:t>
      </w:r>
      <w:r>
        <w:rPr>
          <w:rFonts w:hint="eastAsia" w:cs="宋体"/>
          <w:color w:val="auto"/>
          <w:sz w:val="24"/>
          <w:szCs w:val="24"/>
          <w:highlight w:val="none"/>
          <w:lang w:val="en-US" w:eastAsia="zh-CN"/>
        </w:rPr>
        <w:t>折扣率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b w:val="0"/>
          <w:bCs w:val="0"/>
          <w:color w:val="auto"/>
          <w:spacing w:val="0"/>
          <w:w w:val="100"/>
          <w:position w:val="0"/>
          <w:sz w:val="24"/>
          <w:szCs w:val="24"/>
        </w:rPr>
        <w:t>。</w:t>
      </w:r>
    </w:p>
    <w:p w14:paraId="63404F22">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（二）</w:t>
      </w:r>
      <w:r>
        <w:rPr>
          <w:rFonts w:hint="eastAsia" w:cs="宋体"/>
          <w:b w:val="0"/>
          <w:bCs w:val="0"/>
          <w:color w:val="auto"/>
          <w:spacing w:val="0"/>
          <w:w w:val="100"/>
          <w:position w:val="0"/>
          <w:sz w:val="24"/>
          <w:szCs w:val="24"/>
          <w:lang w:val="en-US" w:eastAsia="zh-CN"/>
        </w:rPr>
        <w:t>合同价款</w:t>
      </w:r>
      <w:r>
        <w:rPr>
          <w:rFonts w:hint="eastAsia" w:ascii="宋体" w:hAnsi="宋体" w:eastAsia="宋体" w:cs="宋体"/>
          <w:b w:val="0"/>
          <w:bCs w:val="0"/>
          <w:color w:val="auto"/>
          <w:spacing w:val="0"/>
          <w:w w:val="100"/>
          <w:position w:val="0"/>
          <w:sz w:val="24"/>
          <w:szCs w:val="24"/>
        </w:rPr>
        <w:t>包括：人工费、食材费、配送费、管理费、采购代理服务费等其他一切相关费用。</w:t>
      </w:r>
    </w:p>
    <w:p w14:paraId="7B5CBA0B">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（三）</w:t>
      </w:r>
      <w:r>
        <w:rPr>
          <w:rFonts w:hint="eastAsia" w:cs="宋体"/>
          <w:b w:val="0"/>
          <w:bCs w:val="0"/>
          <w:color w:val="auto"/>
          <w:spacing w:val="0"/>
          <w:w w:val="100"/>
          <w:position w:val="0"/>
          <w:sz w:val="24"/>
          <w:szCs w:val="24"/>
          <w:lang w:val="en-US" w:eastAsia="zh-CN"/>
        </w:rPr>
        <w:t>折扣率</w:t>
      </w:r>
      <w:r>
        <w:rPr>
          <w:rFonts w:hint="eastAsia" w:ascii="宋体" w:hAnsi="宋体" w:eastAsia="宋体" w:cs="宋体"/>
          <w:b w:val="0"/>
          <w:bCs w:val="0"/>
          <w:color w:val="auto"/>
          <w:spacing w:val="0"/>
          <w:w w:val="100"/>
          <w:position w:val="0"/>
          <w:sz w:val="24"/>
          <w:szCs w:val="24"/>
        </w:rPr>
        <w:t>不受市场价格变化因素的影响。</w:t>
      </w:r>
    </w:p>
    <w:p w14:paraId="68EC9589">
      <w:pPr>
        <w:pStyle w:val="9"/>
        <w:keepNext w:val="0"/>
        <w:keepLines w:val="0"/>
        <w:pageBreakBefore w:val="0"/>
        <w:widowControl w:val="0"/>
        <w:shd w:val="clear" w:color="auto" w:fill="auto"/>
        <w:tabs>
          <w:tab w:val="left" w:pos="1044"/>
        </w:tabs>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pacing w:val="0"/>
          <w:w w:val="100"/>
          <w:position w:val="0"/>
          <w:sz w:val="24"/>
          <w:szCs w:val="24"/>
        </w:rPr>
        <w:t>四、款项结算</w:t>
      </w:r>
    </w:p>
    <w:p w14:paraId="62E3500B">
      <w:pPr>
        <w:pStyle w:val="9"/>
        <w:keepNext w:val="0"/>
        <w:keepLines w:val="0"/>
        <w:pageBreakBefore w:val="0"/>
        <w:widowControl w:val="0"/>
        <w:shd w:val="clear" w:color="auto" w:fill="auto"/>
        <w:tabs>
          <w:tab w:val="left" w:pos="1855"/>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（一）合同签订后，双方以每日经甲方收货人签字验收的配送单作为结算依据，每月初乙方凭结算汇总单开具上月增值税发票后送至甲方，甲方按照财政局报账程序进行付款，最终付款时间以实际到账时间为准。</w:t>
      </w:r>
    </w:p>
    <w:p w14:paraId="175CF03E">
      <w:pPr>
        <w:pStyle w:val="9"/>
        <w:keepNext w:val="0"/>
        <w:keepLines w:val="0"/>
        <w:pageBreakBefore w:val="0"/>
        <w:widowControl w:val="0"/>
        <w:shd w:val="clear" w:color="auto" w:fill="auto"/>
        <w:tabs>
          <w:tab w:val="left" w:pos="1254"/>
          <w:tab w:val="left" w:pos="4965"/>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lang w:eastAsia="zh-CN"/>
        </w:rPr>
        <w:t>（</w:t>
      </w:r>
      <w:r>
        <w:rPr>
          <w:rFonts w:hint="eastAsia" w:cs="宋体"/>
          <w:b w:val="0"/>
          <w:bCs w:val="0"/>
          <w:color w:val="auto"/>
          <w:spacing w:val="0"/>
          <w:w w:val="100"/>
          <w:position w:val="0"/>
          <w:sz w:val="24"/>
          <w:szCs w:val="24"/>
          <w:lang w:val="en-US" w:eastAsia="zh-CN"/>
        </w:rPr>
        <w:t>二</w:t>
      </w:r>
      <w:r>
        <w:rPr>
          <w:rFonts w:hint="eastAsia" w:ascii="宋体" w:hAnsi="宋体" w:eastAsia="宋体" w:cs="宋体"/>
          <w:b w:val="0"/>
          <w:bCs w:val="0"/>
          <w:color w:val="auto"/>
          <w:spacing w:val="0"/>
          <w:w w:val="100"/>
          <w:position w:val="0"/>
          <w:sz w:val="24"/>
          <w:szCs w:val="24"/>
          <w:lang w:eastAsia="zh-CN"/>
        </w:rPr>
        <w:t>）</w:t>
      </w:r>
      <w:r>
        <w:rPr>
          <w:rFonts w:hint="eastAsia" w:ascii="宋体" w:hAnsi="宋体" w:eastAsia="宋体" w:cs="宋体"/>
          <w:b w:val="0"/>
          <w:bCs w:val="0"/>
          <w:color w:val="auto"/>
          <w:spacing w:val="0"/>
          <w:w w:val="100"/>
          <w:position w:val="0"/>
          <w:sz w:val="24"/>
          <w:szCs w:val="24"/>
        </w:rPr>
        <w:t>支付方式：银行转账。</w:t>
      </w:r>
    </w:p>
    <w:p w14:paraId="4BBE5F3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w:t>
      </w:r>
      <w:r>
        <w:rPr>
          <w:rFonts w:hint="eastAsia" w:cs="宋体"/>
          <w:b w:val="0"/>
          <w:bCs w:val="0"/>
          <w:color w:val="auto"/>
          <w:spacing w:val="0"/>
          <w:w w:val="100"/>
          <w:position w:val="0"/>
          <w:sz w:val="24"/>
          <w:szCs w:val="24"/>
          <w:lang w:val="en-US" w:eastAsia="zh-CN"/>
        </w:rPr>
        <w:t>三</w:t>
      </w:r>
      <w:r>
        <w:rPr>
          <w:rFonts w:hint="eastAsia" w:ascii="宋体" w:hAnsi="宋体" w:eastAsia="宋体" w:cs="宋体"/>
          <w:b w:val="0"/>
          <w:bCs w:val="0"/>
          <w:color w:val="auto"/>
          <w:spacing w:val="0"/>
          <w:w w:val="100"/>
          <w:position w:val="0"/>
          <w:sz w:val="24"/>
          <w:szCs w:val="24"/>
        </w:rPr>
        <w:t>）结算方式：</w:t>
      </w:r>
      <w:r>
        <w:rPr>
          <w:rFonts w:hint="eastAsia" w:cs="宋体"/>
          <w:b w:val="0"/>
          <w:bCs w:val="0"/>
          <w:color w:val="auto"/>
          <w:spacing w:val="0"/>
          <w:w w:val="100"/>
          <w:position w:val="0"/>
          <w:sz w:val="24"/>
          <w:szCs w:val="24"/>
          <w:lang w:eastAsia="zh-CN"/>
        </w:rPr>
        <w:t>按照</w:t>
      </w:r>
      <w:r>
        <w:rPr>
          <w:rFonts w:hint="eastAsia" w:ascii="宋体" w:hAnsi="宋体" w:eastAsia="宋体" w:cs="宋体"/>
          <w:b w:val="0"/>
          <w:bCs w:val="0"/>
          <w:color w:val="auto"/>
          <w:spacing w:val="0"/>
          <w:w w:val="100"/>
          <w:position w:val="0"/>
          <w:sz w:val="24"/>
          <w:szCs w:val="24"/>
        </w:rPr>
        <w:t>甲方当月询价标准*供货数量*</w:t>
      </w:r>
      <w:r>
        <w:rPr>
          <w:rFonts w:hint="eastAsia" w:cs="宋体"/>
          <w:b w:val="0"/>
          <w:bCs w:val="0"/>
          <w:color w:val="auto"/>
          <w:spacing w:val="0"/>
          <w:w w:val="100"/>
          <w:position w:val="0"/>
          <w:sz w:val="24"/>
          <w:szCs w:val="24"/>
          <w:lang w:val="en-US" w:eastAsia="zh-CN"/>
        </w:rPr>
        <w:t>折扣率</w:t>
      </w:r>
      <w:r>
        <w:rPr>
          <w:rFonts w:hint="eastAsia" w:ascii="宋体" w:hAnsi="宋体" w:eastAsia="宋体" w:cs="宋体"/>
          <w:b w:val="0"/>
          <w:bCs w:val="0"/>
          <w:color w:val="auto"/>
          <w:spacing w:val="0"/>
          <w:w w:val="100"/>
          <w:position w:val="0"/>
          <w:sz w:val="24"/>
          <w:szCs w:val="24"/>
        </w:rPr>
        <w:t>进行结算</w:t>
      </w:r>
      <w:r>
        <w:rPr>
          <w:rFonts w:hint="eastAsia" w:cs="宋体"/>
          <w:b w:val="0"/>
          <w:bCs w:val="0"/>
          <w:color w:val="auto"/>
          <w:spacing w:val="0"/>
          <w:w w:val="100"/>
          <w:position w:val="0"/>
          <w:sz w:val="24"/>
          <w:szCs w:val="24"/>
          <w:lang w:eastAsia="zh-CN"/>
        </w:rPr>
        <w:t>，</w:t>
      </w:r>
      <w:r>
        <w:rPr>
          <w:rFonts w:hint="eastAsia" w:ascii="宋体" w:hAnsi="宋体" w:eastAsia="宋体" w:cs="宋体"/>
          <w:b w:val="0"/>
          <w:bCs w:val="0"/>
          <w:color w:val="auto"/>
          <w:spacing w:val="0"/>
          <w:w w:val="100"/>
          <w:position w:val="0"/>
          <w:sz w:val="24"/>
          <w:szCs w:val="24"/>
        </w:rPr>
        <w:t>每次付款前乙方应向甲方提供合法有效的</w:t>
      </w:r>
      <w:r>
        <w:rPr>
          <w:rFonts w:hint="eastAsia" w:cs="宋体"/>
          <w:b w:val="0"/>
          <w:bCs w:val="0"/>
          <w:color w:val="auto"/>
          <w:spacing w:val="0"/>
          <w:w w:val="100"/>
          <w:position w:val="0"/>
          <w:sz w:val="24"/>
          <w:szCs w:val="24"/>
          <w:lang w:eastAsia="zh-CN"/>
        </w:rPr>
        <w:t>增值税</w:t>
      </w:r>
      <w:r>
        <w:rPr>
          <w:rFonts w:hint="eastAsia" w:cs="宋体"/>
          <w:b w:val="0"/>
          <w:bCs w:val="0"/>
          <w:color w:val="auto"/>
          <w:spacing w:val="0"/>
          <w:w w:val="100"/>
          <w:position w:val="0"/>
          <w:sz w:val="24"/>
          <w:szCs w:val="24"/>
          <w:u w:val="none"/>
          <w:lang w:val="en-US" w:eastAsia="zh-CN"/>
        </w:rPr>
        <w:t>普通</w:t>
      </w:r>
      <w:r>
        <w:rPr>
          <w:rFonts w:hint="eastAsia" w:ascii="宋体" w:hAnsi="宋体" w:eastAsia="宋体" w:cs="宋体"/>
          <w:b w:val="0"/>
          <w:bCs w:val="0"/>
          <w:color w:val="auto"/>
          <w:spacing w:val="0"/>
          <w:w w:val="100"/>
          <w:position w:val="0"/>
          <w:sz w:val="24"/>
          <w:szCs w:val="24"/>
        </w:rPr>
        <w:t>发票。乙方持</w:t>
      </w:r>
      <w:r>
        <w:rPr>
          <w:rFonts w:hint="eastAsia" w:ascii="宋体" w:hAnsi="宋体" w:eastAsia="宋体" w:cs="宋体"/>
          <w:b w:val="0"/>
          <w:bCs w:val="0"/>
          <w:color w:val="auto"/>
          <w:spacing w:val="0"/>
          <w:w w:val="100"/>
          <w:position w:val="0"/>
          <w:sz w:val="24"/>
          <w:szCs w:val="24"/>
          <w:lang w:eastAsia="zh-CN"/>
        </w:rPr>
        <w:t>成交通知书</w:t>
      </w:r>
      <w:r>
        <w:rPr>
          <w:rFonts w:hint="eastAsia" w:ascii="宋体" w:hAnsi="宋体" w:eastAsia="宋体" w:cs="宋体"/>
          <w:b w:val="0"/>
          <w:bCs w:val="0"/>
          <w:color w:val="auto"/>
          <w:spacing w:val="0"/>
          <w:w w:val="100"/>
          <w:position w:val="0"/>
          <w:sz w:val="24"/>
          <w:szCs w:val="24"/>
        </w:rPr>
        <w:t>、合同、发票，与甲方结算。</w:t>
      </w:r>
    </w:p>
    <w:p w14:paraId="673A01CF">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eastAsia="zh-CN"/>
        </w:rPr>
      </w:pPr>
      <w:r>
        <w:rPr>
          <w:rFonts w:hint="eastAsia" w:ascii="宋体" w:hAnsi="宋体" w:eastAsia="宋体" w:cs="宋体"/>
          <w:b w:val="0"/>
          <w:bCs w:val="0"/>
          <w:color w:val="auto"/>
          <w:spacing w:val="0"/>
          <w:w w:val="100"/>
          <w:position w:val="0"/>
          <w:sz w:val="24"/>
          <w:szCs w:val="24"/>
          <w:lang w:eastAsia="zh-CN"/>
        </w:rPr>
        <w:t>（四）询价标准：食品供应按季节随行就市，其中配送蔬菜、水果、肉蛋禽、水产的价格，供应商每周根据市场调研，得出一个市场价作为货物价款，报采购人审核确认后采购；配送饮品、干货、调料、杂粮、西点原材料每月根据市场调研，得出一个市场价作为货物价款，报采购人审核确认后采购。</w:t>
      </w:r>
    </w:p>
    <w:p w14:paraId="4CBEF229">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pacing w:val="0"/>
          <w:w w:val="100"/>
          <w:position w:val="0"/>
          <w:sz w:val="24"/>
          <w:szCs w:val="24"/>
          <w:lang w:eastAsia="zh-CN"/>
        </w:rPr>
      </w:pPr>
      <w:r>
        <w:rPr>
          <w:rFonts w:hint="eastAsia" w:ascii="宋体" w:hAnsi="宋体" w:eastAsia="宋体" w:cs="宋体"/>
          <w:b/>
          <w:bCs/>
          <w:color w:val="auto"/>
          <w:spacing w:val="0"/>
          <w:w w:val="100"/>
          <w:position w:val="0"/>
          <w:sz w:val="24"/>
          <w:szCs w:val="24"/>
          <w:lang w:eastAsia="zh-CN"/>
        </w:rPr>
        <w:t>五、双方的权利和义务</w:t>
      </w:r>
    </w:p>
    <w:p w14:paraId="4D66BF93">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1、在乙方无违约的前提下，甲方委托乙方作为定点采购配送单位，承担本合同类的食堂原材料采购配送工作；</w:t>
      </w:r>
    </w:p>
    <w:p w14:paraId="1F820A19">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2、甲方有权监督乙方的原材料采购配送工作；</w:t>
      </w:r>
    </w:p>
    <w:p w14:paraId="450C0CD3">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3、甲方对乙方所配送食材进行检查，发现过期，损坏等不合格食材，甲方有权拒收，以确保食材安全卫生；乙方所配送食材经甲方指派人员签字后方可视为安全食材；</w:t>
      </w:r>
    </w:p>
    <w:p w14:paraId="2898BCA6">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4、甲方如有特殊情况，可提前微信图片或电话通知乙方临时增加食材配送工作， 乙方应给予积极配合；</w:t>
      </w:r>
    </w:p>
    <w:p w14:paraId="09B640EB">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5、乙方配送的同品种2/3 食材的价格高于他人价格， 经双方协商无果后，甲方可以提前终止合同。</w:t>
      </w:r>
    </w:p>
    <w:p w14:paraId="38145A91">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（二）乙方的权利和义务</w:t>
      </w:r>
    </w:p>
    <w:p w14:paraId="41B1DB6A">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1、乙方须按本合同要求，保质保量完成甲方的原材料采购配送工作；</w:t>
      </w:r>
    </w:p>
    <w:p w14:paraId="1E8E3A2F">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2、乙方应指派专人负责甲方原材料采购配送工作，及时收集甲方反馈意见； 甲方指 定专人检查接收配送产品，如发现不合格产品甲方有权要求乙方更换合格产品，甲方专人签字收货则表明产品无质量问题；</w:t>
      </w:r>
    </w:p>
    <w:p w14:paraId="473052F6">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3、乙方在配送过程中应做到安全有序，自觉遵守甲方各项安全管理规章制度。乙方为甲方唯一食材供应商，甲方私自采购食材而出现的食物中毒或其他食品安全事故，其后果由甲方承担。</w:t>
      </w:r>
    </w:p>
    <w:p w14:paraId="66BF0DC1">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4、乙方从甲方得到的采购信息，未经甲方同意，乙方不得向第三方公开，泄漏或使用；</w:t>
      </w:r>
    </w:p>
    <w:p w14:paraId="567BA599">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val="en-US" w:eastAsia="zh-CN"/>
        </w:rPr>
      </w:pPr>
      <w:r>
        <w:rPr>
          <w:rFonts w:hint="eastAsia" w:ascii="宋体" w:hAnsi="宋体" w:eastAsia="宋体" w:cs="宋体"/>
          <w:b w:val="0"/>
          <w:bCs w:val="0"/>
          <w:color w:val="auto"/>
          <w:spacing w:val="0"/>
          <w:w w:val="100"/>
          <w:position w:val="0"/>
          <w:sz w:val="24"/>
          <w:szCs w:val="24"/>
          <w:lang w:val="en-US" w:eastAsia="zh-CN"/>
        </w:rPr>
        <w:t>5、乙方配送食材原材料被食品监督部门检验不合格造成不良后果，由乙方承担全部责任，并承担全部经济损失；</w:t>
      </w:r>
    </w:p>
    <w:p w14:paraId="6CBA14B7">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eastAsia="zh-CN"/>
        </w:rPr>
      </w:pPr>
      <w:r>
        <w:rPr>
          <w:rFonts w:hint="eastAsia" w:ascii="宋体" w:hAnsi="宋体" w:eastAsia="宋体" w:cs="宋体"/>
          <w:b w:val="0"/>
          <w:bCs w:val="0"/>
          <w:color w:val="auto"/>
          <w:spacing w:val="0"/>
          <w:w w:val="100"/>
          <w:position w:val="0"/>
          <w:sz w:val="24"/>
          <w:szCs w:val="24"/>
          <w:lang w:val="en-US" w:eastAsia="zh-CN"/>
        </w:rPr>
        <w:t>6、食材供应发生群体食物中毒事故，经检验是乙方配送食材原因的，乙方承担相应事故责任，并承担全部经济损失。</w:t>
      </w:r>
    </w:p>
    <w:p w14:paraId="420AB84F">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bCs/>
          <w:color w:val="auto"/>
          <w:spacing w:val="0"/>
          <w:w w:val="100"/>
          <w:position w:val="0"/>
          <w:sz w:val="24"/>
          <w:szCs w:val="24"/>
          <w:lang w:val="en-US" w:eastAsia="zh-CN"/>
        </w:rPr>
      </w:pPr>
      <w:r>
        <w:rPr>
          <w:rFonts w:hint="eastAsia" w:ascii="宋体" w:hAnsi="宋体" w:eastAsia="宋体" w:cs="宋体"/>
          <w:b/>
          <w:bCs/>
          <w:color w:val="auto"/>
          <w:spacing w:val="0"/>
          <w:w w:val="100"/>
          <w:position w:val="0"/>
          <w:sz w:val="24"/>
          <w:szCs w:val="24"/>
          <w:lang w:eastAsia="zh-CN"/>
        </w:rPr>
        <w:t>六、质量保</w:t>
      </w:r>
      <w:r>
        <w:rPr>
          <w:rFonts w:hint="eastAsia" w:ascii="宋体" w:hAnsi="宋体" w:eastAsia="宋体" w:cs="宋体"/>
          <w:b/>
          <w:bCs/>
          <w:color w:val="auto"/>
          <w:spacing w:val="0"/>
          <w:w w:val="100"/>
          <w:position w:val="0"/>
          <w:sz w:val="24"/>
          <w:szCs w:val="24"/>
          <w:lang w:val="en-US" w:eastAsia="zh-CN"/>
        </w:rPr>
        <w:t>证</w:t>
      </w:r>
    </w:p>
    <w:p w14:paraId="1D3F0DB5">
      <w:pPr>
        <w:pStyle w:val="9"/>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eastAsia="zh-CN"/>
        </w:rPr>
      </w:pPr>
      <w:r>
        <w:rPr>
          <w:rFonts w:hint="eastAsia" w:ascii="宋体" w:hAnsi="宋体" w:eastAsia="宋体" w:cs="宋体"/>
          <w:b w:val="0"/>
          <w:bCs w:val="0"/>
          <w:color w:val="auto"/>
          <w:spacing w:val="0"/>
          <w:w w:val="100"/>
          <w:position w:val="0"/>
          <w:sz w:val="24"/>
          <w:szCs w:val="24"/>
          <w:lang w:eastAsia="zh-CN"/>
        </w:rPr>
        <w:t xml:space="preserve"> </w:t>
      </w:r>
      <w:r>
        <w:rPr>
          <w:rFonts w:ascii="宋体" w:hAnsi="宋体" w:eastAsia="宋体" w:cs="宋体"/>
          <w:color w:val="auto"/>
          <w:sz w:val="24"/>
          <w:szCs w:val="24"/>
        </w:rPr>
        <w:t>食品质量按照《中华人民共和国食品安全法》、《中华人民共和国产品质量法》、《中华人民共和国家农产品质量安全法》保证食品质量。提供的食品必须符合上述法律法规的规定或国家或行业现行规定的相关标准</w:t>
      </w:r>
      <w:r>
        <w:rPr>
          <w:rFonts w:hint="eastAsia" w:ascii="宋体" w:hAnsi="宋体" w:eastAsia="宋体" w:cs="宋体"/>
          <w:b w:val="0"/>
          <w:bCs w:val="0"/>
          <w:color w:val="auto"/>
          <w:spacing w:val="0"/>
          <w:w w:val="100"/>
          <w:position w:val="0"/>
          <w:sz w:val="24"/>
          <w:szCs w:val="24"/>
          <w:lang w:eastAsia="zh-CN"/>
        </w:rPr>
        <w:t>。</w:t>
      </w:r>
    </w:p>
    <w:p w14:paraId="49DAF49A">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七、验收</w:t>
      </w:r>
    </w:p>
    <w:p w14:paraId="5BA45E1B">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乙方每次随货送上一式三份的送货清单，甲方须指派专人接收、称重并验收菜品质量；验收合格后由甲方指定验收员签字核认，作为结算凭证。对不符合质量的品种，甲方有权退、换货。货品验收合格签收。库管、采购员负责入库食品检验，值班厨师配合质量验收，食品验收填写《原料购进验收单》，验收标准如下： </w:t>
      </w:r>
    </w:p>
    <w:p w14:paraId="3D2691B5">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1）定型包装食品，应检验包装标识或者产品说明书是否标出品名、产地、厂名、生产日期、批号或者代号、规格、配方或者主要成份、保质期限、食用或者使用方法等，防止购进假冒伪劣产品，禁止“三无”产品进入食堂； </w:t>
      </w:r>
    </w:p>
    <w:p w14:paraId="0F25C8D5">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2）主要食材中的定型包装食品，如米面油类，供应商需要提供三证，即生产厂家的卫生许可证（若非从厂家直接采购的还需同时提供供货单位的卫生许可证）复印件；批次产品卫生主管部门的检验报告；送货人员的健康证明； </w:t>
      </w:r>
    </w:p>
    <w:p w14:paraId="3CF7692B">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（3）包装污秽不洁、严重破损、运输工具不洁等造成污染的产品不得验收入库；</w:t>
      </w:r>
    </w:p>
    <w:p w14:paraId="4E5FF8C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w:t>
      </w:r>
    </w:p>
    <w:p w14:paraId="7249C8E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（5）食堂采购员、库管员和值班厨师共同对所购食品原辅料的质量、数量进行核对验收，验收合格的及时入库，并在《原料购进验收单》上签字确认。不合格产品应及时退回 供应商，同时做好验收记录。食堂厨师长不定时抽查。 </w:t>
      </w:r>
    </w:p>
    <w:p w14:paraId="24A1102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（6）入库时，保管员要清点入库物品的数量、规格，做到数量、规格、品种准确无误，入库时按不同的材质、规格、功能和要求，分类、分别储存，做到账物相符。</w:t>
      </w:r>
    </w:p>
    <w:p w14:paraId="4CCA5013">
      <w:pPr>
        <w:pStyle w:val="9"/>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pacing w:val="0"/>
          <w:w w:val="100"/>
          <w:position w:val="0"/>
          <w:sz w:val="24"/>
          <w:szCs w:val="24"/>
          <w:lang w:val="en-US" w:eastAsia="zh-CN" w:bidi="en-US"/>
        </w:rPr>
      </w:pPr>
      <w:r>
        <w:rPr>
          <w:rFonts w:hint="eastAsia" w:ascii="宋体" w:hAnsi="宋体" w:eastAsia="宋体" w:cs="宋体"/>
          <w:b/>
          <w:bCs/>
          <w:color w:val="auto"/>
          <w:spacing w:val="0"/>
          <w:w w:val="100"/>
          <w:position w:val="0"/>
          <w:sz w:val="24"/>
          <w:szCs w:val="24"/>
          <w:lang w:val="en-US" w:eastAsia="zh-CN" w:bidi="en-US"/>
        </w:rPr>
        <w:t>八、违约责任</w:t>
      </w:r>
    </w:p>
    <w:p w14:paraId="3A61DAD1">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1、按《中华人民共和国民法典》中的相关条款执行。</w:t>
      </w:r>
    </w:p>
    <w:p w14:paraId="14628EFA">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2、乙方送货质量问题给甲方造成损失的，由乙方承担全部责任。由于甲方保管原因造成的食品安全问题由甲方承担全部责任。 </w:t>
      </w:r>
    </w:p>
    <w:p w14:paraId="3ED32C42">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3、甲方逾期未向乙方支付货款，乙方催要无果的，乙方有权终止向甲方供货，并催收货款，同时终止合同。 </w:t>
      </w:r>
    </w:p>
    <w:p w14:paraId="25A766D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4、乙方违反合同职责约定，甲方有权要求乙方及时整改，如乙方整改后仍不能达到甲方要求，甲方有权终止合同。 </w:t>
      </w:r>
    </w:p>
    <w:p w14:paraId="30C7A234">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 xml:space="preserve">5、任何一方要终止合同都应提前一周(即：7 天)以书面方式通知对方。 </w:t>
      </w:r>
    </w:p>
    <w:p w14:paraId="124127D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lang w:eastAsia="zh-CN"/>
        </w:rPr>
      </w:pPr>
      <w:r>
        <w:rPr>
          <w:rFonts w:hint="eastAsia" w:ascii="宋体" w:hAnsi="宋体" w:eastAsia="宋体" w:cs="宋体"/>
          <w:b w:val="0"/>
          <w:bCs w:val="0"/>
          <w:color w:val="auto"/>
          <w:spacing w:val="0"/>
          <w:w w:val="100"/>
          <w:position w:val="0"/>
          <w:sz w:val="24"/>
          <w:szCs w:val="24"/>
        </w:rPr>
        <w:t>6、乙方严格按照甲方订单指定采购食材，如因甲方订单失误造成乙方采购货品错误，乙方不承担责任</w:t>
      </w:r>
      <w:r>
        <w:rPr>
          <w:rFonts w:hint="eastAsia" w:cs="宋体"/>
          <w:b w:val="0"/>
          <w:bCs w:val="0"/>
          <w:color w:val="auto"/>
          <w:spacing w:val="0"/>
          <w:w w:val="100"/>
          <w:position w:val="0"/>
          <w:sz w:val="24"/>
          <w:szCs w:val="24"/>
          <w:lang w:eastAsia="zh-CN"/>
        </w:rPr>
        <w:t>。</w:t>
      </w:r>
    </w:p>
    <w:p w14:paraId="4B33B5D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bCs/>
          <w:color w:val="auto"/>
          <w:spacing w:val="0"/>
          <w:w w:val="100"/>
          <w:position w:val="0"/>
          <w:sz w:val="24"/>
          <w:szCs w:val="24"/>
          <w:lang w:val="en-US" w:eastAsia="zh-CN"/>
        </w:rPr>
        <w:t>九</w:t>
      </w:r>
      <w:r>
        <w:rPr>
          <w:rFonts w:hint="eastAsia" w:ascii="宋体" w:hAnsi="宋体" w:eastAsia="宋体" w:cs="宋体"/>
          <w:b/>
          <w:bCs/>
          <w:color w:val="auto"/>
          <w:spacing w:val="0"/>
          <w:w w:val="100"/>
          <w:position w:val="0"/>
          <w:sz w:val="24"/>
          <w:szCs w:val="24"/>
        </w:rPr>
        <w:t>、保密条款</w:t>
      </w:r>
    </w:p>
    <w:p w14:paraId="160C945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color w:val="auto"/>
          <w:sz w:val="24"/>
          <w:szCs w:val="24"/>
        </w:rPr>
        <w:t>对工作中了解到的甲方的技术、机密等进行严格保密，不得向他人泄漏。本合同的解除或终止不免除乙方应承担的保密义务</w:t>
      </w:r>
      <w:r>
        <w:rPr>
          <w:rFonts w:hint="eastAsia" w:ascii="宋体" w:hAnsi="宋体" w:eastAsia="宋体" w:cs="宋体"/>
          <w:b w:val="0"/>
          <w:bCs w:val="0"/>
          <w:color w:val="auto"/>
          <w:spacing w:val="0"/>
          <w:w w:val="100"/>
          <w:position w:val="0"/>
          <w:sz w:val="24"/>
          <w:szCs w:val="24"/>
        </w:rPr>
        <w:t>。</w:t>
      </w:r>
    </w:p>
    <w:p w14:paraId="65E74EFF">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pacing w:val="0"/>
          <w:w w:val="100"/>
          <w:position w:val="0"/>
          <w:sz w:val="24"/>
          <w:szCs w:val="24"/>
        </w:rPr>
        <w:t>十、</w:t>
      </w:r>
      <w:r>
        <w:rPr>
          <w:rFonts w:hint="eastAsia" w:ascii="宋体" w:hAnsi="宋体" w:eastAsia="宋体" w:cs="宋体"/>
          <w:b/>
          <w:bCs/>
          <w:color w:val="auto"/>
          <w:spacing w:val="0"/>
          <w:w w:val="100"/>
          <w:position w:val="0"/>
          <w:sz w:val="24"/>
          <w:szCs w:val="24"/>
          <w:lang w:val="en-US" w:eastAsia="zh-CN"/>
        </w:rPr>
        <w:t>争议解决</w:t>
      </w:r>
    </w:p>
    <w:p w14:paraId="1B2DCC91">
      <w:pPr>
        <w:pStyle w:val="9"/>
        <w:keepNext w:val="0"/>
        <w:keepLines w:val="0"/>
        <w:pageBreakBefore w:val="0"/>
        <w:widowControl w:val="0"/>
        <w:shd w:val="clear" w:color="auto" w:fill="auto"/>
        <w:tabs>
          <w:tab w:val="left" w:pos="1431"/>
          <w:tab w:val="left" w:pos="3629"/>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（一）本合同在履行过程中发生的争议，由甲、乙双方当事人协商解决，协商不成的按下列第</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cs="宋体"/>
          <w:b w:val="0"/>
          <w:bCs w:val="0"/>
          <w:color w:val="auto"/>
          <w:spacing w:val="0"/>
          <w:w w:val="100"/>
          <w:position w:val="0"/>
          <w:sz w:val="24"/>
          <w:szCs w:val="24"/>
          <w:u w:val="single"/>
          <w:lang w:val="en-US" w:eastAsia="zh-CN"/>
        </w:rPr>
        <w:t>（2）</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ascii="宋体" w:hAnsi="宋体" w:eastAsia="宋体" w:cs="宋体"/>
          <w:b w:val="0"/>
          <w:bCs w:val="0"/>
          <w:color w:val="auto"/>
          <w:spacing w:val="0"/>
          <w:w w:val="100"/>
          <w:position w:val="0"/>
          <w:sz w:val="24"/>
          <w:szCs w:val="24"/>
        </w:rPr>
        <w:t>种方式解决：</w:t>
      </w:r>
    </w:p>
    <w:p w14:paraId="7BA82D0D">
      <w:pPr>
        <w:pStyle w:val="9"/>
        <w:keepNext w:val="0"/>
        <w:keepLines w:val="0"/>
        <w:pageBreakBefore w:val="0"/>
        <w:widowControl w:val="0"/>
        <w:shd w:val="clear" w:color="auto" w:fill="auto"/>
        <w:tabs>
          <w:tab w:val="left" w:pos="1049"/>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1、提交西安仲裁委员会仲裁；</w:t>
      </w:r>
    </w:p>
    <w:p w14:paraId="1B992E63">
      <w:pPr>
        <w:pStyle w:val="9"/>
        <w:keepNext w:val="0"/>
        <w:keepLines w:val="0"/>
        <w:pageBreakBefore w:val="0"/>
        <w:widowControl w:val="0"/>
        <w:shd w:val="clear" w:color="auto" w:fill="auto"/>
        <w:tabs>
          <w:tab w:val="left" w:pos="101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2、依法向甲方所在地人民法院起诉。</w:t>
      </w:r>
    </w:p>
    <w:p w14:paraId="5EE00117">
      <w:pPr>
        <w:pStyle w:val="9"/>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（二）本条款为独立条款，本合同的无效、变更、解除和终止均不影响本条款的效力。</w:t>
      </w:r>
    </w:p>
    <w:p w14:paraId="7A7F0F8F">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pacing w:val="0"/>
          <w:w w:val="100"/>
          <w:position w:val="0"/>
          <w:sz w:val="24"/>
          <w:szCs w:val="24"/>
        </w:rPr>
        <w:t>十</w:t>
      </w:r>
      <w:r>
        <w:rPr>
          <w:rFonts w:hint="eastAsia" w:cs="宋体"/>
          <w:b/>
          <w:bCs/>
          <w:color w:val="auto"/>
          <w:spacing w:val="0"/>
          <w:w w:val="100"/>
          <w:position w:val="0"/>
          <w:sz w:val="24"/>
          <w:szCs w:val="24"/>
          <w:lang w:val="en-US" w:eastAsia="zh-CN"/>
        </w:rPr>
        <w:t>一</w:t>
      </w:r>
      <w:r>
        <w:rPr>
          <w:rFonts w:hint="eastAsia" w:ascii="宋体" w:hAnsi="宋体" w:eastAsia="宋体" w:cs="宋体"/>
          <w:b/>
          <w:bCs/>
          <w:color w:val="auto"/>
          <w:spacing w:val="0"/>
          <w:w w:val="100"/>
          <w:position w:val="0"/>
          <w:sz w:val="24"/>
          <w:szCs w:val="24"/>
        </w:rPr>
        <w:t>、合同变更</w:t>
      </w:r>
    </w:p>
    <w:p w14:paraId="413A5FAA">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在合同的执行期内，双方均不得随意变更或解除合同。如因项目需求情况发生变化，需要项目变更的，应双方协商后签订项目变更协议（如双方变更事项不能达成一致的，仍按原合同履行，否则视为违约）。</w:t>
      </w:r>
    </w:p>
    <w:p w14:paraId="6714F38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pacing w:val="0"/>
          <w:w w:val="100"/>
          <w:position w:val="0"/>
          <w:sz w:val="24"/>
          <w:szCs w:val="24"/>
        </w:rPr>
        <w:t>十</w:t>
      </w:r>
      <w:r>
        <w:rPr>
          <w:rFonts w:hint="eastAsia" w:cs="宋体"/>
          <w:b/>
          <w:bCs/>
          <w:color w:val="auto"/>
          <w:spacing w:val="0"/>
          <w:w w:val="100"/>
          <w:position w:val="0"/>
          <w:sz w:val="24"/>
          <w:szCs w:val="24"/>
          <w:lang w:val="en-US" w:eastAsia="zh-CN"/>
        </w:rPr>
        <w:t>二</w:t>
      </w:r>
      <w:r>
        <w:rPr>
          <w:rFonts w:hint="eastAsia" w:ascii="宋体" w:hAnsi="宋体" w:eastAsia="宋体" w:cs="宋体"/>
          <w:b/>
          <w:bCs/>
          <w:color w:val="auto"/>
          <w:spacing w:val="0"/>
          <w:w w:val="100"/>
          <w:position w:val="0"/>
          <w:sz w:val="24"/>
          <w:szCs w:val="24"/>
        </w:rPr>
        <w:t>、合同</w:t>
      </w:r>
      <w:r>
        <w:rPr>
          <w:rFonts w:hint="eastAsia" w:ascii="宋体" w:hAnsi="宋体" w:eastAsia="宋体" w:cs="宋体"/>
          <w:b/>
          <w:bCs/>
          <w:color w:val="auto"/>
          <w:spacing w:val="0"/>
          <w:w w:val="100"/>
          <w:position w:val="0"/>
          <w:sz w:val="24"/>
          <w:szCs w:val="24"/>
          <w:lang w:val="en-US" w:eastAsia="zh-CN"/>
        </w:rPr>
        <w:t>生效</w:t>
      </w:r>
    </w:p>
    <w:p w14:paraId="54C30FE2">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本合同一式</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cs="宋体"/>
          <w:b w:val="0"/>
          <w:bCs w:val="0"/>
          <w:color w:val="auto"/>
          <w:spacing w:val="0"/>
          <w:w w:val="100"/>
          <w:position w:val="0"/>
          <w:sz w:val="24"/>
          <w:szCs w:val="24"/>
          <w:u w:val="single"/>
          <w:lang w:val="en-US" w:eastAsia="zh-CN"/>
        </w:rPr>
        <w:t xml:space="preserve">  </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ascii="宋体" w:hAnsi="宋体" w:eastAsia="宋体" w:cs="宋体"/>
          <w:b w:val="0"/>
          <w:bCs w:val="0"/>
          <w:color w:val="auto"/>
          <w:spacing w:val="0"/>
          <w:w w:val="100"/>
          <w:position w:val="0"/>
          <w:sz w:val="24"/>
          <w:szCs w:val="24"/>
        </w:rPr>
        <w:t>份，甲方持</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cs="宋体"/>
          <w:b w:val="0"/>
          <w:bCs w:val="0"/>
          <w:color w:val="auto"/>
          <w:spacing w:val="0"/>
          <w:w w:val="100"/>
          <w:position w:val="0"/>
          <w:sz w:val="24"/>
          <w:szCs w:val="24"/>
          <w:u w:val="single"/>
          <w:lang w:val="en-US" w:eastAsia="zh-CN"/>
        </w:rPr>
        <w:t xml:space="preserve">  </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ascii="宋体" w:hAnsi="宋体" w:eastAsia="宋体" w:cs="宋体"/>
          <w:b w:val="0"/>
          <w:bCs w:val="0"/>
          <w:color w:val="auto"/>
          <w:spacing w:val="0"/>
          <w:w w:val="100"/>
          <w:position w:val="0"/>
          <w:sz w:val="24"/>
          <w:szCs w:val="24"/>
        </w:rPr>
        <w:t>份，乙方持</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cs="宋体"/>
          <w:b w:val="0"/>
          <w:bCs w:val="0"/>
          <w:color w:val="auto"/>
          <w:spacing w:val="0"/>
          <w:w w:val="100"/>
          <w:position w:val="0"/>
          <w:sz w:val="24"/>
          <w:szCs w:val="24"/>
          <w:u w:val="single"/>
          <w:lang w:val="en-US" w:eastAsia="zh-CN"/>
        </w:rPr>
        <w:t xml:space="preserve">  </w:t>
      </w:r>
      <w:r>
        <w:rPr>
          <w:rFonts w:hint="eastAsia" w:ascii="宋体" w:hAnsi="宋体" w:eastAsia="宋体" w:cs="宋体"/>
          <w:b w:val="0"/>
          <w:bCs w:val="0"/>
          <w:color w:val="auto"/>
          <w:spacing w:val="0"/>
          <w:w w:val="100"/>
          <w:position w:val="0"/>
          <w:sz w:val="24"/>
          <w:szCs w:val="24"/>
          <w:u w:val="single"/>
          <w:lang w:val="en-US" w:eastAsia="zh-CN"/>
        </w:rPr>
        <w:t xml:space="preserve"> </w:t>
      </w:r>
      <w:r>
        <w:rPr>
          <w:rFonts w:hint="eastAsia" w:ascii="宋体" w:hAnsi="宋体" w:eastAsia="宋体" w:cs="宋体"/>
          <w:b w:val="0"/>
          <w:bCs w:val="0"/>
          <w:color w:val="auto"/>
          <w:spacing w:val="0"/>
          <w:w w:val="100"/>
          <w:position w:val="0"/>
          <w:sz w:val="24"/>
          <w:szCs w:val="24"/>
        </w:rPr>
        <w:t>份</w:t>
      </w:r>
      <w:r>
        <w:rPr>
          <w:rFonts w:hint="eastAsia" w:cs="宋体"/>
          <w:b w:val="0"/>
          <w:bCs w:val="0"/>
          <w:color w:val="auto"/>
          <w:spacing w:val="0"/>
          <w:w w:val="100"/>
          <w:position w:val="0"/>
          <w:sz w:val="24"/>
          <w:szCs w:val="24"/>
          <w:lang w:eastAsia="zh-CN"/>
        </w:rPr>
        <w:t>。</w:t>
      </w:r>
      <w:r>
        <w:rPr>
          <w:rFonts w:hint="eastAsia" w:ascii="宋体" w:hAnsi="宋体" w:eastAsia="宋体" w:cs="宋体"/>
          <w:b w:val="0"/>
          <w:bCs w:val="0"/>
          <w:color w:val="auto"/>
          <w:spacing w:val="0"/>
          <w:w w:val="100"/>
          <w:position w:val="0"/>
          <w:sz w:val="24"/>
          <w:szCs w:val="24"/>
        </w:rPr>
        <w:t>本合同甲、乙</w:t>
      </w:r>
      <w:r>
        <w:rPr>
          <w:rFonts w:hint="eastAsia" w:ascii="宋体" w:hAnsi="宋体" w:eastAsia="宋体" w:cs="宋体"/>
          <w:b w:val="0"/>
          <w:bCs w:val="0"/>
          <w:color w:val="auto"/>
          <w:spacing w:val="0"/>
          <w:w w:val="100"/>
          <w:position w:val="0"/>
          <w:sz w:val="24"/>
          <w:szCs w:val="24"/>
          <w:lang w:val="en-US" w:eastAsia="zh-CN"/>
        </w:rPr>
        <w:t>双</w:t>
      </w:r>
      <w:r>
        <w:rPr>
          <w:rFonts w:hint="eastAsia" w:ascii="宋体" w:hAnsi="宋体" w:eastAsia="宋体" w:cs="宋体"/>
          <w:b w:val="0"/>
          <w:bCs w:val="0"/>
          <w:color w:val="auto"/>
          <w:spacing w:val="0"/>
          <w:w w:val="100"/>
          <w:position w:val="0"/>
          <w:sz w:val="24"/>
          <w:szCs w:val="24"/>
        </w:rPr>
        <w:t>方签字并盖章后生效，合同执行完毕后，自动失效（合同的服务承诺则长期有效）。</w:t>
      </w:r>
    </w:p>
    <w:p w14:paraId="0103CC7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482"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pacing w:val="0"/>
          <w:w w:val="100"/>
          <w:position w:val="0"/>
          <w:sz w:val="24"/>
          <w:szCs w:val="24"/>
          <w:lang w:val="en-US" w:eastAsia="zh-CN" w:bidi="en-US"/>
        </w:rPr>
        <w:t>十</w:t>
      </w:r>
      <w:r>
        <w:rPr>
          <w:rFonts w:hint="eastAsia" w:cs="宋体"/>
          <w:b/>
          <w:bCs/>
          <w:color w:val="auto"/>
          <w:spacing w:val="0"/>
          <w:w w:val="100"/>
          <w:position w:val="0"/>
          <w:sz w:val="24"/>
          <w:szCs w:val="24"/>
          <w:lang w:val="en-US" w:eastAsia="zh-CN" w:bidi="en-US"/>
        </w:rPr>
        <w:t>三</w:t>
      </w:r>
      <w:r>
        <w:rPr>
          <w:rFonts w:hint="eastAsia" w:ascii="宋体" w:hAnsi="宋体" w:eastAsia="宋体" w:cs="宋体"/>
          <w:b/>
          <w:bCs/>
          <w:color w:val="auto"/>
          <w:spacing w:val="0"/>
          <w:w w:val="100"/>
          <w:position w:val="0"/>
          <w:sz w:val="24"/>
          <w:szCs w:val="24"/>
          <w:lang w:val="en-US" w:eastAsia="zh-CN" w:bidi="en-US"/>
        </w:rPr>
        <w:t>、其他事项</w:t>
      </w:r>
    </w:p>
    <w:p w14:paraId="6B251A78">
      <w:pPr>
        <w:pStyle w:val="9"/>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lang w:val="en-US" w:eastAsia="zh-CN"/>
        </w:rPr>
        <w:t>一</w:t>
      </w:r>
      <w:r>
        <w:rPr>
          <w:rFonts w:hint="eastAsia" w:ascii="宋体" w:hAnsi="宋体" w:eastAsia="宋体" w:cs="宋体"/>
          <w:b w:val="0"/>
          <w:bCs w:val="0"/>
          <w:color w:val="auto"/>
          <w:spacing w:val="0"/>
          <w:w w:val="100"/>
          <w:position w:val="0"/>
          <w:sz w:val="24"/>
          <w:szCs w:val="24"/>
        </w:rPr>
        <w:t>）在合同的履行期间以及履行期后，可以随时检查项目的执行情况，对</w:t>
      </w:r>
      <w:r>
        <w:rPr>
          <w:rFonts w:hint="eastAsia" w:ascii="宋体" w:hAnsi="宋体" w:eastAsia="宋体" w:cs="宋体"/>
          <w:b w:val="0"/>
          <w:bCs w:val="0"/>
          <w:color w:val="auto"/>
          <w:spacing w:val="0"/>
          <w:w w:val="100"/>
          <w:position w:val="0"/>
          <w:sz w:val="24"/>
          <w:szCs w:val="24"/>
          <w:lang w:eastAsia="zh-CN"/>
        </w:rPr>
        <w:t>采</w:t>
      </w:r>
      <w:r>
        <w:rPr>
          <w:rFonts w:hint="eastAsia" w:ascii="宋体" w:hAnsi="宋体" w:eastAsia="宋体" w:cs="宋体"/>
          <w:b w:val="0"/>
          <w:bCs w:val="0"/>
          <w:color w:val="auto"/>
          <w:spacing w:val="0"/>
          <w:w w:val="100"/>
          <w:position w:val="0"/>
          <w:sz w:val="24"/>
          <w:szCs w:val="24"/>
        </w:rPr>
        <w:t>购标准、</w:t>
      </w:r>
      <w:r>
        <w:rPr>
          <w:rFonts w:hint="eastAsia" w:ascii="宋体" w:hAnsi="宋体" w:eastAsia="宋体" w:cs="宋体"/>
          <w:b w:val="0"/>
          <w:bCs w:val="0"/>
          <w:color w:val="auto"/>
          <w:spacing w:val="0"/>
          <w:w w:val="100"/>
          <w:position w:val="0"/>
          <w:sz w:val="24"/>
          <w:szCs w:val="24"/>
          <w:lang w:eastAsia="zh-CN"/>
        </w:rPr>
        <w:t>采</w:t>
      </w:r>
      <w:r>
        <w:rPr>
          <w:rFonts w:hint="eastAsia" w:ascii="宋体" w:hAnsi="宋体" w:eastAsia="宋体" w:cs="宋体"/>
          <w:b w:val="0"/>
          <w:bCs w:val="0"/>
          <w:color w:val="auto"/>
          <w:spacing w:val="0"/>
          <w:w w:val="100"/>
          <w:position w:val="0"/>
          <w:sz w:val="24"/>
          <w:szCs w:val="24"/>
        </w:rPr>
        <w:t>购内容进行调查核实，并对发现的问题进行处理。</w:t>
      </w:r>
    </w:p>
    <w:p w14:paraId="6A67BCCE">
      <w:pPr>
        <w:pStyle w:val="9"/>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lang w:val="en-US" w:eastAsia="zh-CN"/>
        </w:rPr>
        <w:t>二</w:t>
      </w: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lang w:eastAsia="zh-CN"/>
        </w:rPr>
        <w:t>竞争性磋商文件</w:t>
      </w: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lang w:eastAsia="zh-CN"/>
        </w:rPr>
        <w:t>响应文件</w:t>
      </w:r>
      <w:r>
        <w:rPr>
          <w:rFonts w:hint="eastAsia" w:ascii="宋体" w:hAnsi="宋体" w:eastAsia="宋体" w:cs="宋体"/>
          <w:b w:val="0"/>
          <w:bCs w:val="0"/>
          <w:color w:val="auto"/>
          <w:spacing w:val="0"/>
          <w:w w:val="100"/>
          <w:position w:val="0"/>
          <w:sz w:val="24"/>
          <w:szCs w:val="24"/>
        </w:rPr>
        <w:t>、澄清表（函）、</w:t>
      </w:r>
      <w:r>
        <w:rPr>
          <w:rFonts w:hint="eastAsia" w:ascii="宋体" w:hAnsi="宋体" w:eastAsia="宋体" w:cs="宋体"/>
          <w:b w:val="0"/>
          <w:bCs w:val="0"/>
          <w:color w:val="auto"/>
          <w:spacing w:val="0"/>
          <w:w w:val="100"/>
          <w:position w:val="0"/>
          <w:sz w:val="24"/>
          <w:szCs w:val="24"/>
          <w:lang w:eastAsia="zh-CN"/>
        </w:rPr>
        <w:t>成交通知书</w:t>
      </w:r>
      <w:r>
        <w:rPr>
          <w:rFonts w:hint="eastAsia" w:ascii="宋体" w:hAnsi="宋体" w:eastAsia="宋体" w:cs="宋体"/>
          <w:b w:val="0"/>
          <w:bCs w:val="0"/>
          <w:color w:val="auto"/>
          <w:spacing w:val="0"/>
          <w:w w:val="100"/>
          <w:position w:val="0"/>
          <w:sz w:val="24"/>
          <w:szCs w:val="24"/>
        </w:rPr>
        <w:t>、合同附件均成为合同不可分割的部分。</w:t>
      </w:r>
    </w:p>
    <w:p w14:paraId="09E07051">
      <w:pPr>
        <w:pStyle w:val="9"/>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lang w:val="en-US" w:eastAsia="zh-CN"/>
        </w:rPr>
        <w:t>三</w:t>
      </w:r>
      <w:r>
        <w:rPr>
          <w:rFonts w:hint="eastAsia" w:ascii="宋体" w:hAnsi="宋体" w:eastAsia="宋体" w:cs="宋体"/>
          <w:b w:val="0"/>
          <w:bCs w:val="0"/>
          <w:color w:val="auto"/>
          <w:spacing w:val="0"/>
          <w:w w:val="100"/>
          <w:position w:val="0"/>
          <w:sz w:val="24"/>
          <w:szCs w:val="24"/>
        </w:rPr>
        <w:t>）甲乙双方因不可抗力导致本合同全部或部分不能履行时，发生不可抗力的一方应当在不可抗力发生后</w:t>
      </w:r>
      <w:r>
        <w:rPr>
          <w:rFonts w:hint="eastAsia" w:cs="宋体"/>
          <w:b w:val="0"/>
          <w:bCs w:val="0"/>
          <w:color w:val="auto"/>
          <w:spacing w:val="0"/>
          <w:w w:val="100"/>
          <w:position w:val="0"/>
          <w:sz w:val="24"/>
          <w:szCs w:val="24"/>
          <w:u w:val="single"/>
          <w:lang w:val="en-US" w:eastAsia="zh-CN"/>
        </w:rPr>
        <w:t>5</w:t>
      </w:r>
      <w:r>
        <w:rPr>
          <w:rFonts w:hint="eastAsia" w:ascii="宋体" w:hAnsi="宋体" w:eastAsia="宋体" w:cs="宋体"/>
          <w:b w:val="0"/>
          <w:bCs w:val="0"/>
          <w:color w:val="auto"/>
          <w:spacing w:val="0"/>
          <w:w w:val="100"/>
          <w:position w:val="0"/>
          <w:sz w:val="24"/>
          <w:szCs w:val="24"/>
        </w:rPr>
        <w:t>天内书面通知对方，以减轻可能给对方造成的损失。因不可抗力导致本合同全部或部分不能履行时，双方各自承担其因此而造成的损失、损害。</w:t>
      </w:r>
    </w:p>
    <w:p w14:paraId="6FD3BF07">
      <w:pPr>
        <w:pStyle w:val="9"/>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560" w:lineRule="exact"/>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rPr>
      </w:pPr>
      <w:r>
        <w:rPr>
          <w:rFonts w:hint="eastAsia" w:ascii="宋体" w:hAnsi="宋体" w:eastAsia="宋体" w:cs="宋体"/>
          <w:b w:val="0"/>
          <w:bCs w:val="0"/>
          <w:color w:val="auto"/>
          <w:spacing w:val="0"/>
          <w:w w:val="100"/>
          <w:position w:val="0"/>
          <w:sz w:val="24"/>
          <w:szCs w:val="24"/>
        </w:rPr>
        <w:t>（</w:t>
      </w:r>
      <w:r>
        <w:rPr>
          <w:rFonts w:hint="eastAsia" w:ascii="宋体" w:hAnsi="宋体" w:eastAsia="宋体" w:cs="宋体"/>
          <w:b w:val="0"/>
          <w:bCs w:val="0"/>
          <w:color w:val="auto"/>
          <w:spacing w:val="0"/>
          <w:w w:val="100"/>
          <w:position w:val="0"/>
          <w:sz w:val="24"/>
          <w:szCs w:val="24"/>
          <w:lang w:val="en-US" w:eastAsia="zh-CN"/>
        </w:rPr>
        <w:t>四</w:t>
      </w:r>
      <w:r>
        <w:rPr>
          <w:rFonts w:hint="eastAsia" w:ascii="宋体" w:hAnsi="宋体" w:eastAsia="宋体" w:cs="宋体"/>
          <w:b w:val="0"/>
          <w:bCs w:val="0"/>
          <w:color w:val="auto"/>
          <w:spacing w:val="0"/>
          <w:w w:val="100"/>
          <w:position w:val="0"/>
          <w:sz w:val="24"/>
          <w:szCs w:val="24"/>
        </w:rPr>
        <w:t>）合同未尽事宜，由甲、乙双方协商后签订政府</w:t>
      </w:r>
      <w:r>
        <w:rPr>
          <w:rFonts w:hint="eastAsia" w:ascii="宋体" w:hAnsi="宋体" w:eastAsia="宋体" w:cs="宋体"/>
          <w:b w:val="0"/>
          <w:bCs w:val="0"/>
          <w:color w:val="auto"/>
          <w:spacing w:val="0"/>
          <w:w w:val="100"/>
          <w:position w:val="0"/>
          <w:sz w:val="24"/>
          <w:szCs w:val="24"/>
          <w:lang w:eastAsia="zh-CN"/>
        </w:rPr>
        <w:t>采购</w:t>
      </w:r>
      <w:r>
        <w:rPr>
          <w:rFonts w:hint="eastAsia" w:ascii="宋体" w:hAnsi="宋体" w:eastAsia="宋体" w:cs="宋体"/>
          <w:b w:val="0"/>
          <w:bCs w:val="0"/>
          <w:color w:val="auto"/>
          <w:spacing w:val="0"/>
          <w:w w:val="100"/>
          <w:position w:val="0"/>
          <w:sz w:val="24"/>
          <w:szCs w:val="24"/>
        </w:rPr>
        <w:t>补充合同，与原合同具有同等法律效力。</w:t>
      </w:r>
    </w:p>
    <w:p w14:paraId="7C49B952">
      <w:pPr>
        <w:pStyle w:val="12"/>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sz w:val="24"/>
          <w:highlight w:val="none"/>
        </w:rPr>
        <w:t>（以下无正文）</w:t>
      </w:r>
    </w:p>
    <w:p w14:paraId="6882DA48">
      <w:pPr>
        <w:pStyle w:val="12"/>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themeColor="text1"/>
          <w:sz w:val="24"/>
          <w:szCs w:val="24"/>
          <w:lang w:val="en-US" w:eastAsia="zh-CN"/>
          <w14:textFill>
            <w14:solidFill>
              <w14:schemeClr w14:val="tx1"/>
            </w14:solidFill>
          </w14:textFill>
        </w:rPr>
      </w:pPr>
    </w:p>
    <w:p w14:paraId="2D2D2BBA">
      <w:pPr>
        <w:pStyle w:val="12"/>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themeColor="text1"/>
          <w:sz w:val="24"/>
          <w:szCs w:val="24"/>
          <w:lang w:val="en-US" w:eastAsia="zh-CN"/>
          <w14:textFill>
            <w14:solidFill>
              <w14:schemeClr w14:val="tx1"/>
            </w14:solidFill>
          </w14:textFill>
        </w:rPr>
      </w:pPr>
    </w:p>
    <w:p w14:paraId="7F79670C">
      <w:pPr>
        <w:pStyle w:val="12"/>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themeColor="text1"/>
          <w:sz w:val="24"/>
          <w:szCs w:val="24"/>
          <w:lang w:val="en-US" w:eastAsia="zh-CN"/>
          <w14:textFill>
            <w14:solidFill>
              <w14:schemeClr w14:val="tx1"/>
            </w14:solidFill>
          </w14:textFill>
        </w:rPr>
      </w:pPr>
    </w:p>
    <w:p w14:paraId="1577E068">
      <w:pPr>
        <w:rPr>
          <w:rFonts w:hint="eastAsia" w:ascii="宋体" w:hAnsi="宋体" w:eastAsia="宋体" w:cs="宋体"/>
          <w:kern w:val="0"/>
          <w:sz w:val="24"/>
          <w:highlight w:val="none"/>
        </w:rPr>
      </w:pPr>
      <w:r>
        <w:rPr>
          <w:rFonts w:hint="eastAsia" w:ascii="宋体" w:hAnsi="宋体" w:eastAsia="宋体" w:cs="宋体"/>
          <w:kern w:val="0"/>
          <w:sz w:val="24"/>
          <w:highlight w:val="none"/>
        </w:rPr>
        <w:br w:type="page"/>
      </w:r>
    </w:p>
    <w:p w14:paraId="585BA36D">
      <w:pPr>
        <w:widowControl/>
        <w:tabs>
          <w:tab w:val="left" w:pos="8391"/>
        </w:tabs>
        <w:autoSpaceDE w:val="0"/>
        <w:autoSpaceDN w:val="0"/>
        <w:snapToGrid w:val="0"/>
        <w:spacing w:line="510" w:lineRule="exact"/>
        <w:ind w:right="-69" w:firstLine="200"/>
        <w:textAlignment w:val="bottom"/>
        <w:rPr>
          <w:rFonts w:hint="eastAsia" w:ascii="宋体" w:hAnsi="宋体" w:eastAsia="宋体" w:cs="宋体"/>
          <w:sz w:val="24"/>
          <w:highlight w:val="none"/>
        </w:rPr>
      </w:pPr>
      <w:r>
        <w:rPr>
          <w:rFonts w:hint="eastAsia" w:ascii="宋体" w:hAnsi="宋体" w:eastAsia="宋体" w:cs="宋体"/>
          <w:kern w:val="0"/>
          <w:sz w:val="24"/>
          <w:highlight w:val="none"/>
        </w:rPr>
        <w:t>（本页为签署页</w:t>
      </w:r>
      <w:r>
        <w:rPr>
          <w:rFonts w:hint="eastAsia" w:ascii="宋体" w:hAnsi="宋体" w:eastAsia="宋体" w:cs="宋体"/>
          <w:sz w:val="24"/>
          <w:highlight w:val="none"/>
        </w:rPr>
        <w:t>）</w:t>
      </w:r>
    </w:p>
    <w:p w14:paraId="206110EB">
      <w:pPr>
        <w:widowControl/>
        <w:tabs>
          <w:tab w:val="left" w:pos="8391"/>
        </w:tabs>
        <w:autoSpaceDE w:val="0"/>
        <w:autoSpaceDN w:val="0"/>
        <w:snapToGrid w:val="0"/>
        <w:spacing w:line="510" w:lineRule="exact"/>
        <w:ind w:right="-69" w:firstLine="840" w:firstLineChars="350"/>
        <w:textAlignment w:val="bottom"/>
        <w:rPr>
          <w:rFonts w:hint="eastAsia" w:ascii="宋体" w:hAnsi="宋体" w:eastAsia="宋体" w:cs="宋体"/>
          <w:kern w:val="0"/>
          <w:sz w:val="24"/>
          <w:highlight w:val="none"/>
        </w:rPr>
      </w:pPr>
    </w:p>
    <w:p w14:paraId="07944394">
      <w:pPr>
        <w:widowControl/>
        <w:tabs>
          <w:tab w:val="left" w:pos="8391"/>
        </w:tabs>
        <w:autoSpaceDE w:val="0"/>
        <w:autoSpaceDN w:val="0"/>
        <w:snapToGrid w:val="0"/>
        <w:spacing w:line="510" w:lineRule="exact"/>
        <w:ind w:right="-69" w:firstLine="840" w:firstLineChars="350"/>
        <w:textAlignment w:val="bottom"/>
        <w:rPr>
          <w:rFonts w:hint="eastAsia" w:ascii="宋体" w:hAnsi="宋体" w:eastAsia="宋体" w:cs="宋体"/>
          <w:kern w:val="0"/>
          <w:sz w:val="24"/>
          <w:highlight w:val="none"/>
        </w:rPr>
      </w:pPr>
    </w:p>
    <w:tbl>
      <w:tblPr>
        <w:tblStyle w:val="5"/>
        <w:tblW w:w="0" w:type="auto"/>
        <w:jc w:val="center"/>
        <w:tblLayout w:type="fixed"/>
        <w:tblCellMar>
          <w:top w:w="0" w:type="dxa"/>
          <w:left w:w="108" w:type="dxa"/>
          <w:bottom w:w="0" w:type="dxa"/>
          <w:right w:w="108" w:type="dxa"/>
        </w:tblCellMar>
      </w:tblPr>
      <w:tblGrid>
        <w:gridCol w:w="4928"/>
        <w:gridCol w:w="5345"/>
      </w:tblGrid>
      <w:tr w14:paraId="04E85B34">
        <w:tblPrEx>
          <w:tblCellMar>
            <w:top w:w="0" w:type="dxa"/>
            <w:left w:w="108" w:type="dxa"/>
            <w:bottom w:w="0" w:type="dxa"/>
            <w:right w:w="108" w:type="dxa"/>
          </w:tblCellMar>
        </w:tblPrEx>
        <w:trPr>
          <w:jc w:val="center"/>
        </w:trPr>
        <w:tc>
          <w:tcPr>
            <w:tcW w:w="4928" w:type="dxa"/>
            <w:noWrap w:val="0"/>
            <w:vAlign w:val="top"/>
          </w:tcPr>
          <w:p w14:paraId="2B3E7C3C">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lang w:val="zh-CN"/>
              </w:rPr>
            </w:pPr>
            <w:r>
              <w:rPr>
                <w:rFonts w:hint="eastAsia" w:ascii="宋体" w:hAnsi="宋体" w:eastAsia="宋体" w:cs="宋体"/>
                <w:kern w:val="0"/>
                <w:sz w:val="24"/>
                <w:highlight w:val="none"/>
              </w:rPr>
              <w:t>甲方（盖章）:</w:t>
            </w:r>
          </w:p>
          <w:p w14:paraId="3A4F00DD">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62CFF68E">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71766E8E">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w:t>
            </w:r>
          </w:p>
          <w:p w14:paraId="26264542">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（或委托人）</w:t>
            </w:r>
          </w:p>
          <w:p w14:paraId="421D07BE">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5371157C">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3FEDA3ED">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开户银行：</w:t>
            </w:r>
          </w:p>
          <w:p w14:paraId="6981282D">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帐    号：</w:t>
            </w:r>
          </w:p>
          <w:p w14:paraId="30730E74">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地    址：</w:t>
            </w:r>
          </w:p>
          <w:p w14:paraId="30B5685B">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电    话：</w:t>
            </w:r>
          </w:p>
        </w:tc>
        <w:tc>
          <w:tcPr>
            <w:tcW w:w="5345" w:type="dxa"/>
            <w:noWrap w:val="0"/>
            <w:vAlign w:val="top"/>
          </w:tcPr>
          <w:p w14:paraId="5A5A7DB0">
            <w:pPr>
              <w:widowControl/>
              <w:autoSpaceDE w:val="0"/>
              <w:autoSpaceDN w:val="0"/>
              <w:snapToGrid w:val="0"/>
              <w:spacing w:line="510" w:lineRule="exact"/>
              <w:ind w:right="-154" w:firstLine="240" w:firstLineChars="100"/>
              <w:textAlignment w:val="bottom"/>
              <w:rPr>
                <w:rFonts w:hint="eastAsia" w:ascii="宋体" w:hAnsi="宋体" w:eastAsia="宋体" w:cs="宋体"/>
                <w:kern w:val="0"/>
                <w:sz w:val="24"/>
                <w:highlight w:val="none"/>
                <w:lang w:val="zh-CN"/>
              </w:rPr>
            </w:pPr>
            <w:r>
              <w:rPr>
                <w:rFonts w:hint="eastAsia" w:ascii="宋体" w:hAnsi="宋体" w:eastAsia="宋体" w:cs="宋体"/>
                <w:kern w:val="0"/>
                <w:sz w:val="24"/>
                <w:highlight w:val="none"/>
              </w:rPr>
              <w:t xml:space="preserve">乙方（盖章）: </w:t>
            </w:r>
          </w:p>
          <w:p w14:paraId="1BA8DB74">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7FABDE45">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53D0C543">
            <w:pPr>
              <w:widowControl/>
              <w:autoSpaceDE w:val="0"/>
              <w:autoSpaceDN w:val="0"/>
              <w:snapToGrid w:val="0"/>
              <w:spacing w:line="510" w:lineRule="exact"/>
              <w:ind w:right="-154" w:firstLine="240" w:firstLineChars="1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w:t>
            </w:r>
          </w:p>
          <w:p w14:paraId="5B99BBDA">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（或委托人）</w:t>
            </w:r>
          </w:p>
          <w:p w14:paraId="757CA6FF">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4E3DE904">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p w14:paraId="2868DCB8">
            <w:pPr>
              <w:widowControl/>
              <w:autoSpaceDE w:val="0"/>
              <w:autoSpaceDN w:val="0"/>
              <w:snapToGrid w:val="0"/>
              <w:spacing w:line="510" w:lineRule="exact"/>
              <w:ind w:right="-154" w:firstLine="240" w:firstLineChars="1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开户银行：</w:t>
            </w:r>
          </w:p>
          <w:p w14:paraId="203F6783">
            <w:pPr>
              <w:widowControl/>
              <w:autoSpaceDE w:val="0"/>
              <w:autoSpaceDN w:val="0"/>
              <w:snapToGrid w:val="0"/>
              <w:spacing w:line="510" w:lineRule="exact"/>
              <w:ind w:right="-154" w:firstLine="240" w:firstLineChars="1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帐    号：</w:t>
            </w:r>
          </w:p>
          <w:p w14:paraId="71D69A8A">
            <w:pPr>
              <w:widowControl/>
              <w:autoSpaceDE w:val="0"/>
              <w:autoSpaceDN w:val="0"/>
              <w:snapToGrid w:val="0"/>
              <w:spacing w:line="510" w:lineRule="exact"/>
              <w:ind w:right="-154" w:firstLine="240" w:firstLineChars="1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地    址：</w:t>
            </w:r>
          </w:p>
          <w:p w14:paraId="5086F658">
            <w:pPr>
              <w:widowControl/>
              <w:autoSpaceDE w:val="0"/>
              <w:autoSpaceDN w:val="0"/>
              <w:snapToGrid w:val="0"/>
              <w:spacing w:line="510" w:lineRule="exact"/>
              <w:ind w:right="-154" w:firstLine="240" w:firstLineChars="100"/>
              <w:textAlignment w:val="bottom"/>
              <w:rPr>
                <w:rFonts w:hint="eastAsia" w:ascii="宋体" w:hAnsi="宋体" w:eastAsia="宋体" w:cs="宋体"/>
                <w:kern w:val="0"/>
                <w:sz w:val="24"/>
                <w:highlight w:val="none"/>
              </w:rPr>
            </w:pPr>
            <w:r>
              <w:rPr>
                <w:rFonts w:hint="eastAsia" w:ascii="宋体" w:hAnsi="宋体" w:eastAsia="宋体" w:cs="宋体"/>
                <w:kern w:val="0"/>
                <w:sz w:val="24"/>
                <w:highlight w:val="none"/>
              </w:rPr>
              <w:t>电    话：</w:t>
            </w:r>
          </w:p>
          <w:p w14:paraId="2520B871">
            <w:pPr>
              <w:widowControl/>
              <w:autoSpaceDE w:val="0"/>
              <w:autoSpaceDN w:val="0"/>
              <w:snapToGrid w:val="0"/>
              <w:spacing w:line="510" w:lineRule="exact"/>
              <w:ind w:right="-154" w:firstLine="200"/>
              <w:textAlignment w:val="bottom"/>
              <w:rPr>
                <w:rFonts w:hint="eastAsia" w:ascii="宋体" w:hAnsi="宋体" w:eastAsia="宋体" w:cs="宋体"/>
                <w:kern w:val="0"/>
                <w:sz w:val="24"/>
                <w:highlight w:val="none"/>
              </w:rPr>
            </w:pPr>
          </w:p>
        </w:tc>
      </w:tr>
    </w:tbl>
    <w:p w14:paraId="28A6E663">
      <w:pPr>
        <w:pStyle w:val="4"/>
        <w:spacing w:before="0" w:after="0" w:line="360" w:lineRule="auto"/>
        <w:jc w:val="left"/>
        <w:rPr>
          <w:rFonts w:hint="eastAsia" w:ascii="宋体" w:hAnsi="宋体" w:eastAsia="宋体" w:cs="宋体"/>
          <w:sz w:val="24"/>
          <w:highlight w:val="none"/>
        </w:rPr>
      </w:pPr>
    </w:p>
    <w:p w14:paraId="7D617730">
      <w:pPr>
        <w:rPr>
          <w:rFonts w:hint="eastAsia" w:ascii="宋体" w:hAnsi="宋体" w:eastAsia="宋体" w:cs="宋体"/>
        </w:rPr>
      </w:pPr>
    </w:p>
    <w:p w14:paraId="79C968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9D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7"/>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TOC 标题1"/>
    <w:basedOn w:val="3"/>
    <w:next w:val="1"/>
    <w:unhideWhenUsed/>
    <w:qFormat/>
    <w:uiPriority w:val="39"/>
    <w:pPr>
      <w:outlineLvl w:val="9"/>
    </w:pPr>
  </w:style>
  <w:style w:type="paragraph" w:styleId="4">
    <w:name w:val="Title"/>
    <w:basedOn w:val="1"/>
    <w:next w:val="1"/>
    <w:qFormat/>
    <w:uiPriority w:val="0"/>
    <w:pPr>
      <w:spacing w:before="240" w:after="60"/>
      <w:jc w:val="center"/>
      <w:outlineLvl w:val="0"/>
    </w:pPr>
    <w:rPr>
      <w:rFonts w:ascii="Cambria" w:hAnsi="Cambria"/>
      <w:b/>
      <w:bCs/>
      <w:sz w:val="32"/>
      <w:szCs w:val="32"/>
    </w:rPr>
  </w:style>
  <w:style w:type="character" w:customStyle="1" w:styleId="7">
    <w:name w:val="标题 1 Char"/>
    <w:link w:val="3"/>
    <w:qFormat/>
    <w:uiPriority w:val="0"/>
    <w:rPr>
      <w:rFonts w:ascii="宋体"/>
      <w:b/>
      <w:kern w:val="44"/>
      <w:sz w:val="32"/>
      <w:szCs w:val="20"/>
    </w:rPr>
  </w:style>
  <w:style w:type="paragraph" w:customStyle="1" w:styleId="8">
    <w:name w:val="Body text|7"/>
    <w:basedOn w:val="1"/>
    <w:autoRedefine/>
    <w:qFormat/>
    <w:uiPriority w:val="0"/>
    <w:pPr>
      <w:widowControl w:val="0"/>
      <w:shd w:val="clear" w:color="auto" w:fill="auto"/>
      <w:spacing w:after="240"/>
      <w:jc w:val="center"/>
    </w:pPr>
    <w:rPr>
      <w:b/>
      <w:bCs/>
      <w:sz w:val="54"/>
      <w:szCs w:val="54"/>
      <w:u w:val="none"/>
      <w:shd w:val="clear" w:color="auto" w:fill="auto"/>
    </w:rPr>
  </w:style>
  <w:style w:type="paragraph" w:customStyle="1" w:styleId="9">
    <w:name w:val="Body text|3"/>
    <w:basedOn w:val="1"/>
    <w:autoRedefine/>
    <w:qFormat/>
    <w:uiPriority w:val="0"/>
    <w:pPr>
      <w:widowControl w:val="0"/>
      <w:shd w:val="clear" w:color="auto" w:fill="auto"/>
      <w:spacing w:line="409" w:lineRule="exact"/>
      <w:ind w:firstLine="560"/>
    </w:pPr>
    <w:rPr>
      <w:rFonts w:ascii="宋体" w:hAnsi="宋体" w:eastAsia="宋体" w:cs="宋体"/>
      <w:sz w:val="28"/>
      <w:szCs w:val="28"/>
      <w:u w:val="none"/>
      <w:shd w:val="clear" w:color="auto" w:fill="auto"/>
      <w:lang w:val="zh-TW" w:eastAsia="zh-TW" w:bidi="zh-TW"/>
    </w:rPr>
  </w:style>
  <w:style w:type="paragraph" w:customStyle="1" w:styleId="10">
    <w:name w:val="Other|1"/>
    <w:basedOn w:val="1"/>
    <w:qFormat/>
    <w:uiPriority w:val="0"/>
    <w:pPr>
      <w:widowControl w:val="0"/>
      <w:shd w:val="clear" w:color="auto" w:fill="auto"/>
      <w:spacing w:line="422" w:lineRule="auto"/>
    </w:pPr>
    <w:rPr>
      <w:rFonts w:ascii="宋体" w:hAnsi="宋体" w:eastAsia="宋体" w:cs="宋体"/>
      <w:u w:val="none"/>
      <w:shd w:val="clear" w:color="auto" w:fill="auto"/>
      <w:lang w:val="zh-TW" w:eastAsia="zh-TW" w:bidi="zh-TW"/>
    </w:rPr>
  </w:style>
  <w:style w:type="paragraph" w:customStyle="1" w:styleId="11">
    <w:name w:val="Body text|4"/>
    <w:basedOn w:val="1"/>
    <w:qFormat/>
    <w:uiPriority w:val="0"/>
    <w:pPr>
      <w:widowControl w:val="0"/>
      <w:shd w:val="clear" w:color="auto" w:fill="auto"/>
      <w:spacing w:line="410" w:lineRule="exact"/>
      <w:ind w:firstLine="680"/>
    </w:pPr>
    <w:rPr>
      <w:rFonts w:ascii="宋体" w:hAnsi="宋体" w:eastAsia="宋体" w:cs="宋体"/>
      <w:sz w:val="28"/>
      <w:szCs w:val="28"/>
      <w:u w:val="none"/>
      <w:shd w:val="clear" w:color="auto" w:fill="auto"/>
      <w:lang w:val="zh-TW" w:eastAsia="zh-TW" w:bidi="zh-TW"/>
    </w:r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2026-04-13T03:26:59Z</dcterms:created>
  <dc:creator>Administrator</dc:creator>
  <cp:lastModifiedBy>韩朵</cp:lastModifiedBy>
  <dcterms:modified xsi:type="dcterms:W3CDTF">2026-04-13T03:31:51Z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eyJoZGlkIjoiNmQ0NGQ4MGM5OWU4YzVjNjVkMmVkMGNmYjk1NGQzMWUiLCJ1c2VySWQiOiI0NzI2OTg0NjMifQ==</vt:lpwstr>
  </property>
  <property fmtid="{D5CDD505-2E9C-101B-9397-08002B2CF9AE}" pid="4" name="ICV">
    <vt:lpwstr>E0C9F891AE754B908539FF7885D9B7AB_12</vt:lpwstr>
  </property>
</Properties>
</file>