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80" w:firstLineChars="200"/>
        <w:rPr>
          <w:rFonts w:hint="eastAsia" w:ascii="宋体" w:hAnsi="宋体" w:eastAsia="宋体" w:cs="宋体"/>
          <w:b w:val="0"/>
          <w:bCs w:val="0"/>
          <w:sz w:val="24"/>
          <w:szCs w:val="24"/>
          <w:lang w:val="en-US" w:eastAsia="zh-CN"/>
        </w:rPr>
      </w:pPr>
      <w:bookmarkStart w:id="0" w:name="_GoBack"/>
      <w:r>
        <w:rPr>
          <w:rFonts w:hint="eastAsia" w:ascii="宋体" w:hAnsi="宋体" w:eastAsia="宋体" w:cs="宋体"/>
          <w:b w:val="0"/>
          <w:bCs w:val="0"/>
          <w:sz w:val="24"/>
          <w:szCs w:val="24"/>
          <w:lang w:val="en-US" w:eastAsia="zh-CN"/>
        </w:rPr>
        <w:t>一、采购内容：</w:t>
      </w:r>
    </w:p>
    <w:p>
      <w:pPr>
        <w:spacing w:line="40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1、印制一瓜一码防伪二维码标签5000万枚；为阎良区46个村所有甜瓜种植大户信息采集、档案建立、追溯操作培训、追溯标识使用等统一化操作一对一服务。</w:t>
      </w:r>
    </w:p>
    <w:p>
      <w:pPr>
        <w:spacing w:line="40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2、采购气相色谱仪1台</w:t>
      </w:r>
    </w:p>
    <w:p>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二、技术要求：</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41"/>
        <w:gridCol w:w="1340"/>
        <w:gridCol w:w="5170"/>
        <w:gridCol w:w="1100"/>
        <w:gridCol w:w="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序号</w:t>
            </w:r>
          </w:p>
        </w:tc>
        <w:tc>
          <w:tcPr>
            <w:tcW w:w="7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名称</w:t>
            </w:r>
          </w:p>
        </w:tc>
        <w:tc>
          <w:tcPr>
            <w:tcW w:w="30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参数</w:t>
            </w:r>
          </w:p>
        </w:tc>
        <w:tc>
          <w:tcPr>
            <w:tcW w:w="6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数量</w:t>
            </w:r>
          </w:p>
        </w:tc>
        <w:tc>
          <w:tcPr>
            <w:tcW w:w="27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1</w:t>
            </w:r>
          </w:p>
        </w:tc>
        <w:tc>
          <w:tcPr>
            <w:tcW w:w="7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一瓜一码防伪二维码标签</w:t>
            </w:r>
          </w:p>
        </w:tc>
        <w:tc>
          <w:tcPr>
            <w:tcW w:w="30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标签尺寸：18*24mm；材质：50u亮银PET；工艺要求：彩色可变数字+四工位随机变化彩色二维码，表面专版镭射防伪印刷（非覆膜），微缩防伪加密</w:t>
            </w:r>
          </w:p>
        </w:tc>
        <w:tc>
          <w:tcPr>
            <w:tcW w:w="6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50000000</w:t>
            </w:r>
          </w:p>
        </w:tc>
        <w:tc>
          <w:tcPr>
            <w:tcW w:w="27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8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2</w:t>
            </w:r>
          </w:p>
        </w:tc>
        <w:tc>
          <w:tcPr>
            <w:tcW w:w="7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46个村甜瓜种植大户信息采集、档案建立、追溯操作培训、追溯标识使用等统一化操作一对一服务</w:t>
            </w:r>
          </w:p>
        </w:tc>
        <w:tc>
          <w:tcPr>
            <w:tcW w:w="30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平台技术需求：一物一码防伪技术，实现单个甜瓜防伪标签实时动态报警雷达，手机微信小程序可实现防伪标签大数据监测，提供后台大数据分析功能，可实现与阎良区农产品追溯平台融合，并可与西安市及陕西省厅、国家平台等实现对接与数据互联互通；提供工业及农产品地理标志一物一码防伪打假成功案例和佐证材料，可实现防伪标签物流窜货管理。</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1.平台设计灵活可扩展、可移植、可应对高并发需求。同时兼顾本地化、私有云、公有云部署，支持SaaS模式应用；</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2.平台底层应用的基础服务，是一个微服务系统运行所必要的组件服务。平台提供较好的兼容性，可根据需要选择不同的基础组件，如注册中心、配置中心、分布式事务等，并能很好的适配阿里云EDAS等公有云平台；</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3.监管部门能对辖区内所有生产经营主体的信息进行全程监控管理；</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4.甜瓜种植大户通过手机端小程序对农产品生长过程的信息进行记录管理，包括生产管理、投入品使用、检验检疫等方面，客观、真实采集各个生产环节数据，产品、操作环节、操作时间、操作地点GPS 定位自动生成，同时精准清晰的在采集图上以水印的形式展现。</w:t>
            </w:r>
          </w:p>
        </w:tc>
        <w:tc>
          <w:tcPr>
            <w:tcW w:w="6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46</w:t>
            </w:r>
          </w:p>
        </w:tc>
        <w:tc>
          <w:tcPr>
            <w:tcW w:w="27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1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3</w:t>
            </w:r>
          </w:p>
        </w:tc>
        <w:tc>
          <w:tcPr>
            <w:tcW w:w="7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气相色谱仪</w:t>
            </w:r>
          </w:p>
        </w:tc>
        <w:tc>
          <w:tcPr>
            <w:tcW w:w="30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1、快速加热和冷却的柱温箱：</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（1）柱箱温度：室温以上4℃ ～ 450℃（使用液态CO2时可达-45℃，液氮可达-90℃）；</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（2）程序升温：20阶21平台；</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（3）可设定升温速率：180℃/min，支持程序降温；</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（4）温度设定精度：0.1℃；</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（5）控温精度：0.01℃；</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（6）温度稳定性：周围温度每变化1℃，柱温箱温度变化小于0.01℃；</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（7）冷却速度：从 450 降到 50℃ ≤3.5min（210s）；</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（8）最大运行时间：9999.99分钟。</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2、进样单元：最多可同时安装三个独立控温的进样单元，由先进的电子流量/压力控制系统控制。</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（1）自动进样器单元</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①样品位：≥150位样品盘</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②可实现双塔双柱同时进样。</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③可升级样品架冷却和加热功能。</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④保留时间重复性：&lt;0.001min</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⑤峰面积重复性：&lt;1% RSD</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 xml:space="preserve">⑥进样量范围：0.1~150 uL，10μL 注射器以0.1μL 步进； </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⑦交叉污染：小于10-4 (使用4种溶剂清洗, 测定正己烷中1% 联苯)</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⑧具有样品优先模式：当进行样品批处理进样时, 可对某样品进行优先进样设定, 而后继续完成批处理设定。</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（2）分流/不分流进样口</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①最高温度：450℃</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②压力设定范围：0 ～ 1035 kPa（相当于0-150 psi）</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③压力程序比率设定范围：-400 ～ 400 kPa/min</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④压力程序：7阶</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⑤分流比设定范围：0 ～ 9999.9</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⑥流量设定范围：0～1250mL/min</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⑦配备全自动电子流量控制系统AFC，具备室温补偿和自动环境补偿功能，支持恒流，恒压，程序增加流速，程序升压及压力脉冲等操作模式以及独特的恒线速度控制功能</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⑧标准配备载气节省模式，有效节约载气消耗量</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3、检测器单元：可同时安装四个独立控温的检测器，检测器的气体由先进的压力控制系统控制（APC），检测器的数据采集速率是250Hz（4ms）。</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（1）电子捕获检测器（ECD）</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①最高使用温度：400°C</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②检测限：4.2 fg/s (γ-BHC)</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③动态范围：8 x 104</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（2）火焰光度检测器（FPD）</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①最高使用温度：400°C</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②检测限：P 55fgP/s (磷酸三丁酯)、S 2.5 pgS/s (十二烷硫醇)</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③动态范围：P 104、S 103</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4、其他</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（1）色谱柱和流路系统</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①可安装并使用常规内径0.25mm和0.32mm毛细柱，可内径0.53mm在内的毛细柱，可选配填充柱，可使用PAH专用柱，PLOT，手性柱等特殊填料色谱柱</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②支持双柱双流路系统，且两根色谱柱长度不受限制</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③两个柱流量控制系统均采用先进的流量控制单元</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④具有恒定的载气线速度控制功能</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⑤可通过切割少许长度来延长色谱柱使用寿命，污染后无需即刻整体更换</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⑥具有室温补偿和自动环境补偿功能</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（2）面板键盘</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①完全控制及显示所有温度区域和载气流量</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②完全控制所有检测器功能和检测器气体</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③实时时间程序和系统诊断，在线帮助和记事本记录程序事件</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（3）多种附件可供选择</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可选配同品牌自动液体进样器、顶空进样器、三合一多功能自动进样器、吹扫捕集、热裂解、热脱附等附件</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5、数据处理系统</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1）数据采集和数据解析。采用一体化的数据结构，利用定量浏览器和数据浏览器可方便的进行分析操作和信息追溯，满足GLP/GMP操作规范。具有丰富的计算功能和数据比较功能，可以显示相对保留时间（RRT），具有保留时间自动校正功能（AART）。可针对工作流程灵活设定软件操作界面。</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（2）报告制作。度灵活的报告制作功能，各种类型的模板文件快捷选用，并支持自建模板。标准配备PDF输出功能。</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（3）质量控制。精度控制QA/QC功能，支持自动计算噪音、漂移、信噪比、LOD、LOQ、精密度和回收率等方法学指标，具有仪器系统检查功能和用户安全管理功能。</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（4）网络化控制。可通过网络式CDS（数据管理系统）进行软件远程控制和人机分离模式操作。</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（5）法规符合性。abSolutions LC/GC具有安全性策略、系统策略、用户权限和用户管理、审核追踪和理由输入等功能，完全符合GxP和FDA 21 CFR Part11或厚生劳动省相关法规的要求。</w:t>
            </w:r>
            <w:r>
              <w:rPr>
                <w:rFonts w:hint="eastAsia" w:ascii="宋体" w:hAnsi="宋体" w:eastAsia="宋体" w:cs="宋体"/>
                <w:b w:val="0"/>
                <w:bCs w:val="0"/>
                <w:i w:val="0"/>
                <w:iCs w:val="0"/>
                <w:color w:val="000000"/>
                <w:kern w:val="0"/>
                <w:sz w:val="24"/>
                <w:szCs w:val="24"/>
                <w:u w:val="none"/>
                <w:bdr w:val="none" w:color="auto" w:sz="0" w:space="0"/>
                <w:lang w:val="en-US" w:eastAsia="zh-CN" w:bidi="ar"/>
              </w:rPr>
              <w:br w:type="textWrapping"/>
            </w:r>
            <w:r>
              <w:rPr>
                <w:rFonts w:hint="eastAsia" w:ascii="宋体" w:hAnsi="宋体" w:eastAsia="宋体" w:cs="宋体"/>
                <w:b w:val="0"/>
                <w:bCs w:val="0"/>
                <w:i w:val="0"/>
                <w:iCs w:val="0"/>
                <w:color w:val="000000"/>
                <w:kern w:val="0"/>
                <w:sz w:val="24"/>
                <w:szCs w:val="24"/>
                <w:u w:val="none"/>
                <w:bdr w:val="none" w:color="auto" w:sz="0" w:space="0"/>
                <w:lang w:val="en-US" w:eastAsia="zh-CN" w:bidi="ar"/>
              </w:rPr>
              <w:t>6、需提供在售全新仪器，不得为停产型号或翻新机</w:t>
            </w:r>
          </w:p>
        </w:tc>
        <w:tc>
          <w:tcPr>
            <w:tcW w:w="6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none" w:color="auto" w:sz="0" w:space="0"/>
                <w:lang w:val="en-US" w:eastAsia="zh-CN" w:bidi="ar"/>
              </w:rPr>
              <w:t>个</w:t>
            </w:r>
          </w:p>
        </w:tc>
      </w:tr>
    </w:tbl>
    <w:p>
      <w:pPr>
        <w:rPr>
          <w:rFonts w:hint="eastAsia" w:ascii="宋体" w:hAnsi="宋体" w:eastAsia="宋体" w:cs="宋体"/>
          <w:b w:val="0"/>
          <w:bCs w:val="0"/>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NTc2NGQ4ZGJlOWNiNWMxMTMwOWZhOTg0YTg3NTMifQ=="/>
  </w:docVars>
  <w:rsids>
    <w:rsidRoot w:val="00000000"/>
    <w:rsid w:val="35A9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2024-02-29T01:35:41Z</dcterms:created>
  <dc:creator>Administrator</dc:creator>
  <cp:lastModifiedBy>aaa</cp:lastModifiedBy>
  <dcterms:modified xsi:type="dcterms:W3CDTF">2024-02-29T01:50:08Z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502FF3D9C3764EA7B47E2E6215A89F9F_12</vt:lpwstr>
  </property>
</Properties>
</file>