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2023年国家产业园（奶山羊种质资源培育试验示范）奶羊繁殖育种数字化管理系统采购项目</w:t>
      </w:r>
    </w:p>
    <w:p>
      <w:pPr>
        <w:pStyle w:val="null3"/>
        <w:jc w:val="center"/>
        <w:outlineLvl w:val="2"/>
      </w:pPr>
      <w:r>
        <w:rPr>
          <w:b/>
          <w:sz w:val="28"/>
        </w:rPr>
        <w:t>采购项目编号：</w:t>
      </w:r>
      <w:r>
        <w:rPr>
          <w:b/>
          <w:sz w:val="28"/>
        </w:rPr>
        <w:t>ZDYT-ZB-2024（12）</w:t>
      </w:r>
      <w:r>
        <w:br/>
      </w:r>
      <w:r>
        <w:br/>
      </w:r>
      <w:r>
        <w:br/>
      </w:r>
    </w:p>
    <w:p>
      <w:pPr>
        <w:pStyle w:val="null3"/>
        <w:jc w:val="center"/>
        <w:outlineLvl w:val="2"/>
      </w:pPr>
      <w:r>
        <w:rPr>
          <w:b/>
          <w:sz w:val="28"/>
        </w:rPr>
        <w:t>西安市阎良区农业农村和林业局</w:t>
      </w:r>
    </w:p>
    <w:p>
      <w:pPr>
        <w:pStyle w:val="null3"/>
        <w:jc w:val="center"/>
        <w:outlineLvl w:val="2"/>
      </w:pPr>
      <w:r>
        <w:rPr>
          <w:b/>
          <w:sz w:val="28"/>
        </w:rPr>
        <w:t>陕西中鼎裕泰工程咨询有限公司</w:t>
      </w:r>
      <w:r>
        <w:rPr>
          <w:b/>
          <w:sz w:val="28"/>
        </w:rPr>
        <w:t>共同编制</w:t>
      </w:r>
    </w:p>
    <w:p>
      <w:pPr>
        <w:pStyle w:val="null3"/>
        <w:jc w:val="center"/>
        <w:outlineLvl w:val="2"/>
      </w:pPr>
      <w:r>
        <w:rPr>
          <w:b/>
          <w:sz w:val="28"/>
        </w:rPr>
        <w:t>2024年03月01日</w:t>
      </w:r>
    </w:p>
    <w:p>
      <w:pPr>
        <w:pStyle w:val="null3"/>
      </w:pPr>
      <w:r>
        <w:rPr/>
        <w:t xml:space="preserve"> </w:t>
      </w:r>
    </w:p>
    <w:p>
      <w:pPr>
        <w:pStyle w:val="null3"/>
        <w:jc w:val="center"/>
        <w:outlineLvl w:val="1"/>
      </w:pPr>
      <w:r>
        <w:rPr>
          <w:b/>
          <w:sz w:val="36"/>
        </w:rPr>
        <w:t>第一章 竞争性磋商邀请</w:t>
      </w:r>
    </w:p>
    <w:p>
      <w:pPr>
        <w:pStyle w:val="null3"/>
        <w:ind w:firstLine="480"/>
      </w:pPr>
      <w:r>
        <w:rPr/>
        <w:t>陕西中鼎裕泰工程咨询有限公司</w:t>
      </w:r>
      <w:r>
        <w:rPr/>
        <w:t>（以下简称“代理机构”）受</w:t>
      </w:r>
      <w:r>
        <w:rPr/>
        <w:t>西安市阎良区农业农村和林业局</w:t>
      </w:r>
      <w:r>
        <w:rPr/>
        <w:t>委托，拟对</w:t>
      </w:r>
      <w:r>
        <w:rPr/>
        <w:t>2023年国家产业园（奶山羊种质资源培育试验示范）奶羊繁殖育种数字化管理系统采购项目</w:t>
      </w:r>
      <w:r>
        <w:rPr/>
        <w:t>采用竞争性磋商采购方式进行采购，兹邀请供应商参加本项目的竞争性磋商。</w:t>
      </w:r>
    </w:p>
    <w:p>
      <w:pPr>
        <w:pStyle w:val="null3"/>
        <w:outlineLvl w:val="2"/>
      </w:pPr>
      <w:r>
        <w:rPr>
          <w:b/>
          <w:sz w:val="28"/>
        </w:rPr>
        <w:t>一、项目编号：</w:t>
      </w:r>
      <w:r>
        <w:rPr>
          <w:b/>
          <w:sz w:val="28"/>
        </w:rPr>
        <w:t>ZDYT-ZB-2024（12）</w:t>
      </w:r>
    </w:p>
    <w:p>
      <w:pPr>
        <w:pStyle w:val="null3"/>
        <w:outlineLvl w:val="2"/>
      </w:pPr>
      <w:r>
        <w:rPr>
          <w:b/>
          <w:sz w:val="28"/>
        </w:rPr>
        <w:t>二、项目名称：</w:t>
      </w:r>
      <w:r>
        <w:rPr>
          <w:b/>
          <w:sz w:val="28"/>
        </w:rPr>
        <w:t>2023年国家产业园（奶山羊种质资源培育试验示范）奶羊繁殖育种数字化管理系统采购项目</w:t>
      </w:r>
    </w:p>
    <w:p>
      <w:pPr>
        <w:pStyle w:val="null3"/>
        <w:outlineLvl w:val="2"/>
      </w:pPr>
      <w:r>
        <w:rPr>
          <w:b/>
          <w:sz w:val="28"/>
        </w:rPr>
        <w:t>三、磋商项目简介</w:t>
      </w:r>
    </w:p>
    <w:p>
      <w:pPr>
        <w:pStyle w:val="null3"/>
        <w:ind w:firstLine="480"/>
      </w:pPr>
      <w:r>
        <w:rPr/>
        <w:t>2023年部分中央财政农业产业发展国家产业园（奶山羊饲养服务）项目通过引进优质奶山羊种羊，改善全区10000只奶山羊。在不改变传统养殖方式的条件下，通过进行基础设施升级改造，以及建立奶羊繁殖育种数字化管理系统，完善奶山羊核心群系谱，确保在奶山羊繁育季节能够满足改良全区奶山羊的需求，实现慧养殖奶山羊育种及分析的目标。</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采购包1（2023年国家产业园（奶山羊种质资源培育试验示范）奶羊繁殖育种数字化管理系统采购项目）：属于专门面向中小企业采购。</w:t>
      </w:r>
    </w:p>
    <w:p>
      <w:pPr>
        <w:pStyle w:val="null3"/>
        <w:ind w:firstLine="480"/>
      </w:pPr>
      <w:r>
        <w:rPr/>
        <w:t>（三）本项目的特定资格要求：</w:t>
      </w:r>
    </w:p>
    <w:p>
      <w:pPr>
        <w:pStyle w:val="null3"/>
      </w:pPr>
      <w:r>
        <w:rPr/>
        <w:t>采购包1：</w:t>
      </w:r>
    </w:p>
    <w:p>
      <w:pPr>
        <w:pStyle w:val="null3"/>
      </w:pPr>
      <w:r>
        <w:rPr/>
        <w:t>1、营业执照：供应商须具有独立承担民事责任能力的法人、其他组织或自然人，提供营业执照/事业单位法人证书/非企业专业服务机构执业许可证/自然人身份证。</w:t>
      </w:r>
    </w:p>
    <w:p>
      <w:pPr>
        <w:pStyle w:val="null3"/>
      </w:pPr>
      <w:r>
        <w:rPr/>
        <w:t>2、供应商应授权合法的人员参加磋商全过程：其中法定代表人直接参加磋商的，须出具法人身份证复印件，并与营业执照上信息一致。法定代表人授权代表参加磋商的，须出具法定代表人授权书。</w:t>
      </w:r>
    </w:p>
    <w:p>
      <w:pPr>
        <w:pStyle w:val="null3"/>
      </w:pPr>
      <w:r>
        <w:rPr/>
        <w:t>3、供应商健全的财务证明资料：①可提供2022或2023年度经审计的财务报告（包含审计报告和审计报告中所涉及的财务报表和报表附注），②可提供2022或2023年度供应商完整的全套财务报表（应当包括资产负债表、利润表、现金流量表、所有者权益变动表、附注），③可提供截至响应文件提交截止日一年内银行出具的资信证明，④供应商注册时间截至响应文件提交截止日不足一年的，也可提供在工商管理部门备案的公司章程。</w:t>
      </w:r>
    </w:p>
    <w:p>
      <w:pPr>
        <w:pStyle w:val="null3"/>
      </w:pPr>
      <w:r>
        <w:rPr/>
        <w:t>4、依法缴纳税收的良好记录：提供截止至开标时间前12个月内任一月份的缴费凭据,依法免税的单位应提供相关证明材料。</w:t>
      </w:r>
    </w:p>
    <w:p>
      <w:pPr>
        <w:pStyle w:val="null3"/>
      </w:pPr>
      <w:r>
        <w:rPr/>
        <w:t>5、依法缴纳社会保障资金的良好记录：提供截止至开标时间前12个月内任一月份的缴费凭据或社保机构开具的社会保险参保缴费情况证明，依法不需要缴纳社会保障资金的单位应提供相关证明材料。</w:t>
      </w:r>
    </w:p>
    <w:p>
      <w:pPr>
        <w:pStyle w:val="null3"/>
      </w:pPr>
      <w:r>
        <w:rPr/>
        <w:t>6、参加政府采购活动前3年内在经营活动中没有重大违法记录：提供参加政府采购活动前3年内在经营活动中没有重大违法记录的书面声明。</w:t>
      </w:r>
    </w:p>
    <w:p>
      <w:pPr>
        <w:pStyle w:val="null3"/>
      </w:pPr>
      <w:r>
        <w:rPr/>
        <w:t>7、具备履行合同所必需的设备和专业技术能力的证明材料：由供应商根据项目需求提供说明材料或者承诺。</w:t>
      </w:r>
    </w:p>
    <w:p>
      <w:pPr>
        <w:pStyle w:val="null3"/>
      </w:pPr>
      <w:r>
        <w:rPr/>
        <w:t>8、信用查询：供应商不得为“信用中国”网站（www.creditchina.gov.cn ）中列入失信被执行人和重大税收违法失信主体的供应商，不得为中国政府采购网（www.ccgp.gov.cn ）政府采购严重违法失信行为记录名单中被财政部门禁止参加政府采购活动的供应商。</w:t>
      </w:r>
    </w:p>
    <w:p>
      <w:pPr>
        <w:pStyle w:val="null3"/>
      </w:pPr>
      <w:r>
        <w:rPr/>
        <w:t>9、本项目不接受联合体磋商，单位负责人为同一人或者存在控股、管理关系的不同单位不得同时参加磋商：本项目不接受联合体磋商，单位负责人为同一人或者存在控股、管理关系的不同单位不得同时参加磋商（提供承诺或相关说明并加盖公章）。</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西安市阎良区农业农村和林业局</w:t>
      </w:r>
    </w:p>
    <w:p>
      <w:pPr>
        <w:pStyle w:val="null3"/>
      </w:pPr>
      <w:r>
        <w:rPr/>
        <w:t xml:space="preserve"> 地址： </w:t>
      </w:r>
      <w:r>
        <w:rPr/>
        <w:t>西安市阎良区凤凰东路29号</w:t>
      </w:r>
    </w:p>
    <w:p>
      <w:pPr>
        <w:pStyle w:val="null3"/>
      </w:pPr>
      <w:r>
        <w:rPr/>
        <w:t xml:space="preserve"> 邮编： </w:t>
      </w:r>
      <w:r>
        <w:rPr/>
        <w:t>710089</w:t>
      </w:r>
    </w:p>
    <w:p>
      <w:pPr>
        <w:pStyle w:val="null3"/>
      </w:pPr>
      <w:r>
        <w:rPr/>
        <w:t xml:space="preserve"> 联系人： </w:t>
      </w:r>
      <w:r>
        <w:rPr/>
        <w:t>西安市阎良区农业农村和林业局经办</w:t>
      </w:r>
    </w:p>
    <w:p>
      <w:pPr>
        <w:pStyle w:val="null3"/>
      </w:pPr>
      <w:r>
        <w:rPr/>
        <w:t xml:space="preserve"> 联系电话： </w:t>
      </w:r>
      <w:r>
        <w:rPr/>
        <w:t>13572837778</w:t>
      </w:r>
    </w:p>
    <w:p>
      <w:pPr>
        <w:pStyle w:val="null3"/>
        <w:outlineLvl w:val="3"/>
      </w:pPr>
      <w:r>
        <w:rPr>
          <w:b/>
          <w:sz w:val="24"/>
        </w:rPr>
        <w:t>代理机构：</w:t>
      </w:r>
      <w:r>
        <w:rPr>
          <w:b/>
          <w:sz w:val="24"/>
        </w:rPr>
        <w:t>陕西中鼎裕泰工程咨询有限公司</w:t>
      </w:r>
    </w:p>
    <w:p>
      <w:pPr>
        <w:pStyle w:val="null3"/>
      </w:pPr>
      <w:r>
        <w:rPr/>
        <w:t xml:space="preserve"> 地址： </w:t>
      </w:r>
      <w:r>
        <w:rPr/>
        <w:t>西安市国际港务区港兴三路与欧亚大道交汇处招商局丝路中心B座5楼522室</w:t>
      </w:r>
    </w:p>
    <w:p>
      <w:pPr>
        <w:pStyle w:val="null3"/>
      </w:pPr>
      <w:r>
        <w:rPr/>
        <w:t xml:space="preserve"> 邮编： </w:t>
      </w:r>
      <w:r>
        <w:rPr/>
        <w:t>710000</w:t>
      </w:r>
    </w:p>
    <w:p>
      <w:pPr>
        <w:pStyle w:val="null3"/>
      </w:pPr>
      <w:r>
        <w:rPr/>
        <w:t xml:space="preserve"> 联系人： </w:t>
      </w:r>
      <w:r>
        <w:rPr/>
        <w:t>张艳</w:t>
      </w:r>
    </w:p>
    <w:p>
      <w:pPr>
        <w:pStyle w:val="null3"/>
      </w:pPr>
      <w:r>
        <w:rPr/>
        <w:t xml:space="preserve"> 联系电话： </w:t>
      </w:r>
      <w:r>
        <w:rPr/>
        <w:t>18829517279</w:t>
      </w:r>
    </w:p>
    <w:p>
      <w:pPr>
        <w:pStyle w:val="null3"/>
        <w:outlineLvl w:val="3"/>
      </w:pPr>
      <w:r>
        <w:rPr>
          <w:b/>
          <w:sz w:val="24"/>
        </w:rPr>
        <w:t>采购监督机构：</w:t>
      </w:r>
      <w:r>
        <w:rPr>
          <w:b/>
          <w:sz w:val="24"/>
        </w:rPr>
        <w:t>西安市阎良区政府采购管理股</w:t>
      </w:r>
    </w:p>
    <w:p>
      <w:pPr>
        <w:pStyle w:val="null3"/>
        <w:ind w:firstLine="480"/>
      </w:pPr>
      <w:r>
        <w:rPr/>
        <w:t>联系人：</w:t>
      </w:r>
      <w:r>
        <w:rPr/>
        <w:t>刘媛媛</w:t>
      </w:r>
    </w:p>
    <w:p>
      <w:pPr>
        <w:pStyle w:val="null3"/>
        <w:ind w:firstLine="480"/>
      </w:pPr>
      <w:r>
        <w:rPr/>
        <w:t>联系电话：</w:t>
      </w:r>
      <w:r>
        <w:rPr/>
        <w:t>029-86204415</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采购包1：1,100,000.00元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代理服务费收费标准：成交人在领取成交通知书前须向采购代理机构交纳采购代理服务费。代理服务费按照国家计委计价格[2002]1980号《招标代理服务收费管理暂行办法》规定标准计取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西安市阎良区农业农村和林业局</w:t>
      </w:r>
      <w:r>
        <w:rPr/>
        <w:t>和</w:t>
      </w:r>
      <w:r>
        <w:rPr/>
        <w:t>陕西中鼎裕泰工程咨询有限公司</w:t>
      </w:r>
      <w:r>
        <w:rPr/>
        <w:t>享有。对磋商文件中供应商参加本次政府采购活动应当具备的条件，磋商项目技术、服务、商务及其他要求，评审细则及标准由</w:t>
      </w:r>
      <w:r>
        <w:rPr/>
        <w:t>西安市阎良区农业农村和林业局</w:t>
      </w:r>
      <w:r>
        <w:rPr/>
        <w:t>负责解释。除上述磋商文件内容，其他内容由</w:t>
      </w:r>
      <w:r>
        <w:rPr/>
        <w:t>陕西中鼎裕泰工程咨询有限公司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西安市阎良区农业农村和林业局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陕西中鼎裕泰工程咨询有限公司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1、《畜牧业信息化技术规范》（GB/T34792-2017） 2、《物联网智慧农业数据传输技术就要求》（20213268-T-469） 3、《农业物联网应用服务》（GB/T41187-2021） 4、《信息技术安全技术信息安全管理体系要求》（GB/T22080-2016） 5、《信息安全技术信息系统安全运维管理指南》（GB/T36626-2018）</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陕西中鼎裕泰工程咨询有限公司</w:t>
      </w:r>
      <w:r>
        <w:rPr/>
        <w:t xml:space="preserve"> 负责答复；供应商对除采购需求外的采购文件的询问、质疑由</w:t>
      </w:r>
      <w:r>
        <w:rPr/>
        <w:t>陕西中鼎裕泰工程咨询有限公司</w:t>
      </w:r>
      <w:r>
        <w:rPr/>
        <w:t xml:space="preserve"> 负责答复；供应商对采购过程、采购结果的询问、质疑由 </w:t>
      </w:r>
      <w:r>
        <w:rPr/>
        <w:t>陕西中鼎裕泰工程咨询有限公司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联系人：张艳</w:t>
      </w:r>
    </w:p>
    <w:p>
      <w:pPr>
        <w:pStyle w:val="null3"/>
      </w:pPr>
      <w:r>
        <w:rPr/>
        <w:t>联系电话：029-86863659</w:t>
      </w:r>
    </w:p>
    <w:p>
      <w:pPr>
        <w:pStyle w:val="null3"/>
      </w:pPr>
      <w:r>
        <w:rPr/>
        <w:t>地址：西安市国际港务区港兴三路与欧亚大道交汇处招商局丝路中心B座5楼522室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2023年部分中央财政农业产业发展国家产业园（奶山羊饲养服务）项目通过引进优质奶山羊种羊，改善全区10000只奶山羊。在不改变传统养殖方式的条件下，通过进行基础设施升级改造，以及建立奶羊繁殖育种数字化管理系统，完善奶山羊核心群系谱，确保在奶山羊繁育季节能够满足改良全区奶山羊的需求，实现慧养殖奶山羊育种及分析的目标。</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1,100,000.00</w:t>
      </w:r>
    </w:p>
    <w:p>
      <w:pPr>
        <w:pStyle w:val="null3"/>
      </w:pPr>
      <w:r>
        <w:rPr/>
        <w:t>采购包最高限价（元）: 1,100,000.00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平台建设</w:t>
            </w:r>
          </w:p>
        </w:tc>
        <w:tc>
          <w:tcPr>
            <w:tcW w:type="dxa" w:w="831"/>
          </w:tcPr>
          <w:p>
            <w:pPr>
              <w:pStyle w:val="null3"/>
              <w:jc w:val="right"/>
            </w:pPr>
            <w:r>
              <w:rPr/>
              <w:t>1.00</w:t>
            </w:r>
          </w:p>
        </w:tc>
        <w:tc>
          <w:tcPr>
            <w:tcW w:type="dxa" w:w="831"/>
          </w:tcPr>
          <w:p>
            <w:pPr>
              <w:pStyle w:val="null3"/>
              <w:jc w:val="right"/>
            </w:pPr>
            <w:r>
              <w:rPr/>
              <w:t>1,100,000.00</w:t>
            </w:r>
          </w:p>
        </w:tc>
        <w:tc>
          <w:tcPr>
            <w:tcW w:type="dxa" w:w="831"/>
          </w:tcPr>
          <w:p>
            <w:pPr>
              <w:pStyle w:val="null3"/>
            </w:pPr>
            <w:r>
              <w:rPr/>
              <w:t>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标的名称：平台建设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2"/>
              <w:jc w:val="both"/>
            </w:pPr>
            <w:r>
              <w:rPr>
                <w:rFonts w:ascii="宋体" w:hAnsi="宋体" w:cs="宋体" w:eastAsia="宋体"/>
                <w:b/>
                <w:sz w:val="24"/>
              </w:rPr>
              <w:t>项目概况</w:t>
            </w:r>
          </w:p>
          <w:p>
            <w:pPr>
              <w:pStyle w:val="null3"/>
              <w:ind w:firstLine="480"/>
              <w:jc w:val="both"/>
            </w:pPr>
            <w:r>
              <w:rPr>
                <w:rFonts w:ascii="calibri" w:hAnsi="calibri" w:cs="calibri" w:eastAsia="calibri"/>
                <w:sz w:val="24"/>
              </w:rPr>
              <w:t>2023</w:t>
            </w:r>
            <w:r>
              <w:rPr>
                <w:rFonts w:ascii="宋体" w:hAnsi="宋体" w:cs="宋体" w:eastAsia="宋体"/>
                <w:sz w:val="24"/>
              </w:rPr>
              <w:t>年部分中央财政农业产业发展国家产业园（奶山羊饲养服务）项目通过引进优质奶山羊种羊，改善全区</w:t>
            </w:r>
            <w:r>
              <w:rPr>
                <w:rFonts w:ascii="calibri" w:hAnsi="calibri" w:cs="calibri" w:eastAsia="calibri"/>
                <w:sz w:val="24"/>
              </w:rPr>
              <w:t>10000</w:t>
            </w:r>
            <w:r>
              <w:rPr>
                <w:rFonts w:ascii="宋体" w:hAnsi="宋体" w:cs="宋体" w:eastAsia="宋体"/>
                <w:sz w:val="24"/>
              </w:rPr>
              <w:t>只奶山羊。在不改变传统养殖方式的条件下，通过进行基础设施升级改造，以及建立奶羊繁殖育种数字化管理系统，完善奶山羊核心群系谱，确保在奶山羊繁育季节能够满足改良全区奶山羊的需求，实现慧养殖奶山羊育种及分析的目标。</w:t>
            </w:r>
          </w:p>
        </w:tc>
      </w:tr>
      <w:tr>
        <w:tc>
          <w:tcPr>
            <w:tcW w:type="dxa" w:w="2769"/>
          </w:tcPr>
          <w:p/>
        </w:tc>
        <w:tc>
          <w:tcPr>
            <w:tcW w:type="dxa" w:w="2769"/>
          </w:tcPr>
          <w:p>
            <w:pPr>
              <w:pStyle w:val="null3"/>
            </w:pPr>
            <w:r>
              <w:rPr/>
              <w:t>2</w:t>
            </w:r>
          </w:p>
        </w:tc>
        <w:tc>
          <w:tcPr>
            <w:tcW w:type="dxa" w:w="2769"/>
          </w:tcPr>
          <w:p>
            <w:pPr>
              <w:pStyle w:val="null3"/>
              <w:ind w:firstLine="482"/>
              <w:jc w:val="both"/>
            </w:pPr>
            <w:r>
              <w:rPr>
                <w:rFonts w:ascii="宋体" w:hAnsi="宋体" w:cs="宋体" w:eastAsia="宋体"/>
                <w:b/>
                <w:sz w:val="24"/>
              </w:rPr>
              <w:t>服务内容</w:t>
            </w:r>
          </w:p>
          <w:p>
            <w:pPr>
              <w:pStyle w:val="null3"/>
              <w:ind w:firstLine="480"/>
              <w:jc w:val="both"/>
            </w:pPr>
            <w:r>
              <w:rPr>
                <w:rFonts w:ascii="宋体" w:hAnsi="宋体" w:cs="宋体" w:eastAsia="宋体"/>
                <w:sz w:val="24"/>
              </w:rPr>
              <w:t>奶羊繁殖育种数字化管理系统工作内容</w:t>
            </w:r>
          </w:p>
          <w:p>
            <w:pPr>
              <w:pStyle w:val="null3"/>
              <w:ind w:firstLine="480"/>
              <w:jc w:val="both"/>
            </w:pPr>
            <w:r>
              <w:rPr>
                <w:rFonts w:ascii="calibri" w:hAnsi="calibri" w:cs="calibri" w:eastAsia="calibri"/>
                <w:sz w:val="24"/>
              </w:rPr>
              <w:t>1.</w:t>
            </w:r>
            <w:r>
              <w:rPr>
                <w:rFonts w:ascii="宋体" w:hAnsi="宋体" w:cs="宋体" w:eastAsia="宋体"/>
                <w:sz w:val="24"/>
              </w:rPr>
              <w:t>数据采集和记录：系统能够自动采集奶山羊的相关数据，包括生长发育数据、繁殖记录、健康状况等。这些数据可以通过智能手持终端等设备进行实时记录和更新。</w:t>
            </w:r>
          </w:p>
          <w:p>
            <w:pPr>
              <w:pStyle w:val="null3"/>
              <w:ind w:firstLine="480"/>
              <w:jc w:val="both"/>
            </w:pPr>
            <w:r>
              <w:rPr>
                <w:rFonts w:ascii="calibri" w:hAnsi="calibri" w:cs="calibri" w:eastAsia="calibri"/>
                <w:sz w:val="24"/>
              </w:rPr>
              <w:t>2.</w:t>
            </w:r>
            <w:r>
              <w:rPr>
                <w:rFonts w:ascii="宋体" w:hAnsi="宋体" w:cs="宋体" w:eastAsia="宋体"/>
                <w:sz w:val="24"/>
              </w:rPr>
              <w:t>繁殖管理和优化：系统可以根据采集到的数据，进行繁殖管理和优化。例如，根据奶山羊的遗传背景和繁殖记录，系统可以提供合理的配种建议，以提高奶山羊群的遗传品质和繁殖效率。</w:t>
            </w:r>
          </w:p>
          <w:p>
            <w:pPr>
              <w:pStyle w:val="null3"/>
              <w:ind w:firstLine="480"/>
              <w:jc w:val="both"/>
            </w:pPr>
            <w:r>
              <w:rPr>
                <w:rFonts w:ascii="calibri" w:hAnsi="calibri" w:cs="calibri" w:eastAsia="calibri"/>
                <w:sz w:val="24"/>
              </w:rPr>
              <w:t>3.</w:t>
            </w:r>
            <w:r>
              <w:rPr>
                <w:rFonts w:ascii="宋体" w:hAnsi="宋体" w:cs="宋体" w:eastAsia="宋体"/>
                <w:sz w:val="24"/>
              </w:rPr>
              <w:t>健康监测和预警：系统可以监测奶山羊的健康状况，及时发现异常情况并进行预警。这有助于提前采取措施，防止疾病的传播和羊群的健康问题。</w:t>
            </w:r>
          </w:p>
          <w:p>
            <w:pPr>
              <w:pStyle w:val="null3"/>
              <w:jc w:val="both"/>
            </w:pPr>
            <w:r>
              <w:rPr>
                <w:rFonts w:ascii="calibri" w:hAnsi="calibri" w:cs="calibri" w:eastAsia="calibri"/>
                <w:sz w:val="24"/>
              </w:rPr>
              <w:t xml:space="preserve">         4.</w:t>
            </w:r>
            <w:r>
              <w:rPr>
                <w:rFonts w:ascii="宋体" w:hAnsi="宋体" w:cs="宋体" w:eastAsia="宋体"/>
                <w:sz w:val="24"/>
              </w:rPr>
              <w:t>数据分析和决策支持：系统能够对采集到的数据进行分析和统计，提供有关奶山羊繁殖育种的关键指标和报告。这些数据和报告可以帮助决策者进行科学决策，优化养殖管理策略。</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b/>
                <w:sz w:val="24"/>
              </w:rPr>
              <w:t xml:space="preserve">  技术要求</w:t>
            </w:r>
          </w:p>
          <w:p>
            <w:pPr>
              <w:pStyle w:val="null3"/>
              <w:ind w:firstLine="480"/>
              <w:jc w:val="both"/>
            </w:pPr>
            <w:r>
              <w:rPr>
                <w:rFonts w:ascii="calibri" w:hAnsi="calibri" w:cs="calibri" w:eastAsia="calibri"/>
                <w:sz w:val="24"/>
              </w:rPr>
              <w:t>1.</w:t>
            </w:r>
            <w:r>
              <w:rPr>
                <w:rFonts w:ascii="宋体" w:hAnsi="宋体" w:cs="宋体" w:eastAsia="宋体"/>
                <w:sz w:val="24"/>
              </w:rPr>
              <w:t>开放性原则：系统开发过程中，使用的产品具有多样性，为了保证各产品间协调一致，以及产品信息交换与数据共享，系统必须遵循开放性原则，支持国内外相应的标准和协议。</w:t>
            </w:r>
          </w:p>
          <w:p>
            <w:pPr>
              <w:pStyle w:val="null3"/>
              <w:ind w:firstLine="480"/>
              <w:jc w:val="both"/>
            </w:pPr>
            <w:r>
              <w:rPr>
                <w:rFonts w:ascii="calibri" w:hAnsi="calibri" w:cs="calibri" w:eastAsia="calibri"/>
                <w:sz w:val="24"/>
              </w:rPr>
              <w:t>2.</w:t>
            </w:r>
            <w:r>
              <w:rPr>
                <w:rFonts w:ascii="宋体" w:hAnsi="宋体" w:cs="宋体" w:eastAsia="宋体"/>
                <w:sz w:val="24"/>
              </w:rPr>
              <w:t>可靠性原则：设计完成的系统需要具备一定的容错能力，系统整体结构必须可靠稳定，确保不会因为某些局部小问题而导致整个系统的瘫痪。</w:t>
            </w:r>
          </w:p>
          <w:p>
            <w:pPr>
              <w:pStyle w:val="null3"/>
              <w:ind w:firstLine="480"/>
              <w:jc w:val="both"/>
            </w:pPr>
            <w:r>
              <w:rPr>
                <w:rFonts w:ascii="calibri" w:hAnsi="calibri" w:cs="calibri" w:eastAsia="calibri"/>
                <w:sz w:val="24"/>
              </w:rPr>
              <w:t>3.</w:t>
            </w:r>
            <w:r>
              <w:rPr>
                <w:rFonts w:ascii="宋体" w:hAnsi="宋体" w:cs="宋体" w:eastAsia="宋体"/>
                <w:sz w:val="24"/>
              </w:rPr>
              <w:t>安全性原则：在系统设计过程中，安全性与保密性十分重要，必须保证整个系统与数据的安全，避免外来程序的入侵。</w:t>
            </w:r>
          </w:p>
          <w:p>
            <w:pPr>
              <w:pStyle w:val="null3"/>
              <w:ind w:firstLine="480"/>
              <w:jc w:val="both"/>
            </w:pPr>
            <w:r>
              <w:rPr>
                <w:rFonts w:ascii="calibri" w:hAnsi="calibri" w:cs="calibri" w:eastAsia="calibri"/>
                <w:sz w:val="24"/>
              </w:rPr>
              <w:t>4.</w:t>
            </w:r>
            <w:r>
              <w:rPr>
                <w:rFonts w:ascii="宋体" w:hAnsi="宋体" w:cs="宋体" w:eastAsia="宋体"/>
                <w:sz w:val="24"/>
              </w:rPr>
              <w:t>实用性原则：系统为用户提供简单实用的界面，采用符合行业规范的语言，并且需要具有易于管理、易于维护等特点。</w:t>
            </w:r>
          </w:p>
          <w:p>
            <w:pPr>
              <w:pStyle w:val="null3"/>
              <w:ind w:firstLine="480"/>
              <w:jc w:val="both"/>
            </w:pPr>
            <w:r>
              <w:rPr>
                <w:rFonts w:ascii="calibri" w:hAnsi="calibri" w:cs="calibri" w:eastAsia="calibri"/>
                <w:sz w:val="24"/>
              </w:rPr>
              <w:t>5.</w:t>
            </w:r>
            <w:r>
              <w:rPr>
                <w:rFonts w:ascii="宋体" w:hAnsi="宋体" w:cs="宋体" w:eastAsia="宋体"/>
                <w:sz w:val="24"/>
              </w:rPr>
              <w:t>可扩展性原则：系统在应用、结构、处理业务等方面需要具有一定的扩展性，在满足现有业务需要的同时，还应满足未来的业务需要。</w:t>
            </w:r>
          </w:p>
        </w:tc>
      </w:tr>
      <w:tr>
        <w:tc>
          <w:tcPr>
            <w:tcW w:type="dxa" w:w="2769"/>
          </w:tcPr>
          <w:p/>
        </w:tc>
        <w:tc>
          <w:tcPr>
            <w:tcW w:type="dxa" w:w="2769"/>
          </w:tcPr>
          <w:p>
            <w:pPr>
              <w:pStyle w:val="null3"/>
            </w:pPr>
            <w:r>
              <w:rPr/>
              <w:t>4</w:t>
            </w:r>
          </w:p>
        </w:tc>
        <w:tc>
          <w:tcPr>
            <w:tcW w:type="dxa" w:w="2769"/>
          </w:tcPr>
          <w:p>
            <w:pPr>
              <w:pStyle w:val="null3"/>
              <w:ind w:firstLine="482"/>
              <w:jc w:val="both"/>
            </w:pPr>
            <w:r>
              <w:rPr>
                <w:rFonts w:ascii="宋体" w:hAnsi="宋体" w:cs="宋体" w:eastAsia="宋体"/>
                <w:b/>
                <w:sz w:val="24"/>
              </w:rPr>
              <w:t>服务要求</w:t>
            </w:r>
          </w:p>
          <w:p>
            <w:pPr>
              <w:pStyle w:val="null3"/>
              <w:ind w:firstLine="480"/>
              <w:jc w:val="both"/>
            </w:pPr>
            <w:r>
              <w:rPr>
                <w:rFonts w:ascii="calibri" w:hAnsi="calibri" w:cs="calibri" w:eastAsia="calibri"/>
                <w:sz w:val="24"/>
              </w:rPr>
              <w:t>1.</w:t>
            </w:r>
            <w:r>
              <w:rPr>
                <w:rFonts w:ascii="宋体" w:hAnsi="宋体" w:cs="宋体" w:eastAsia="宋体"/>
                <w:sz w:val="24"/>
              </w:rPr>
              <w:t>提供功能完备的系统：确保提供的奶羊繁殖育种数字化管理系统具备所承诺的功能和性能。系统应能够识别奶山羊进行数据采集和记录，提供繁殖管理和优化功能，以及健康监测和预警等服务。</w:t>
            </w:r>
          </w:p>
          <w:p>
            <w:pPr>
              <w:pStyle w:val="null3"/>
              <w:ind w:firstLine="480"/>
              <w:jc w:val="both"/>
            </w:pPr>
            <w:r>
              <w:rPr>
                <w:rFonts w:ascii="calibri" w:hAnsi="calibri" w:cs="calibri" w:eastAsia="calibri"/>
                <w:sz w:val="24"/>
              </w:rPr>
              <w:t>2.</w:t>
            </w:r>
            <w:r>
              <w:rPr>
                <w:rFonts w:ascii="宋体" w:hAnsi="宋体" w:cs="宋体" w:eastAsia="宋体"/>
                <w:sz w:val="24"/>
              </w:rPr>
              <w:t>数据准确性和完整性：确保采集到的数据准确、完整，并按照约定的频率进行采集和记录。</w:t>
            </w:r>
          </w:p>
          <w:p>
            <w:pPr>
              <w:pStyle w:val="null3"/>
              <w:ind w:firstLine="480"/>
              <w:jc w:val="both"/>
            </w:pPr>
            <w:r>
              <w:rPr>
                <w:rFonts w:ascii="calibri" w:hAnsi="calibri" w:cs="calibri" w:eastAsia="calibri"/>
                <w:sz w:val="24"/>
              </w:rPr>
              <w:t>3.</w:t>
            </w:r>
            <w:r>
              <w:rPr>
                <w:rFonts w:ascii="宋体" w:hAnsi="宋体" w:cs="宋体" w:eastAsia="宋体"/>
                <w:sz w:val="24"/>
              </w:rPr>
              <w:t>技术支持和培训：提供必要的技术支持和培训，以帮助用户熟悉和使用系统。包括提供用户手册、在线或现场培训，以及解答用户在使用过程中遇到的技术问题和故障。</w:t>
            </w:r>
          </w:p>
          <w:p>
            <w:pPr>
              <w:pStyle w:val="null3"/>
              <w:ind w:firstLine="480"/>
              <w:jc w:val="both"/>
            </w:pPr>
            <w:r>
              <w:rPr>
                <w:rFonts w:ascii="calibri" w:hAnsi="calibri" w:cs="calibri" w:eastAsia="calibri"/>
                <w:sz w:val="24"/>
              </w:rPr>
              <w:t>4.</w:t>
            </w:r>
            <w:r>
              <w:rPr>
                <w:rFonts w:ascii="宋体" w:hAnsi="宋体" w:cs="宋体" w:eastAsia="宋体"/>
                <w:sz w:val="24"/>
              </w:rPr>
              <w:t>数据安全和隐私保护：确保采取适当的措施保护采集到的数据的安全性和隐私性。包括数据加密、权限管理、备份和恢复等措施，以防止未经授权的访问、篡改或泄露。</w:t>
            </w:r>
          </w:p>
          <w:p>
            <w:pPr>
              <w:pStyle w:val="null3"/>
              <w:ind w:firstLine="480"/>
              <w:jc w:val="both"/>
            </w:pPr>
            <w:r>
              <w:rPr>
                <w:rFonts w:ascii="calibri" w:hAnsi="calibri" w:cs="calibri" w:eastAsia="calibri"/>
                <w:sz w:val="24"/>
              </w:rPr>
              <w:t>5.</w:t>
            </w:r>
            <w:r>
              <w:rPr>
                <w:rFonts w:ascii="宋体" w:hAnsi="宋体" w:cs="宋体" w:eastAsia="宋体"/>
                <w:sz w:val="24"/>
              </w:rPr>
              <w:t>故障处理和维护：及时响应和处理系统故障或问题，确保系统的正常运行。</w:t>
            </w:r>
          </w:p>
          <w:p>
            <w:pPr>
              <w:pStyle w:val="null3"/>
              <w:jc w:val="both"/>
            </w:pPr>
            <w:r>
              <w:rPr>
                <w:rFonts w:ascii="calibri" w:hAnsi="calibri" w:cs="calibri" w:eastAsia="calibri"/>
                <w:sz w:val="24"/>
              </w:rPr>
              <w:t xml:space="preserve">        6.</w:t>
            </w:r>
            <w:r>
              <w:rPr>
                <w:rFonts w:ascii="宋体" w:hAnsi="宋体" w:cs="宋体" w:eastAsia="宋体"/>
                <w:sz w:val="24"/>
              </w:rPr>
              <w:t>合规性和法律要求：应遵守适用的法律法规和行业标准，确保系统的合规性。包括数据保护和隐私法规的遵守，以及对敏感信息的妥善处理。</w:t>
            </w:r>
          </w:p>
        </w:tc>
      </w:tr>
      <w:tr>
        <w:tc>
          <w:tcPr>
            <w:tcW w:type="dxa" w:w="2769"/>
          </w:tcPr>
          <w:p/>
        </w:tc>
        <w:tc>
          <w:tcPr>
            <w:tcW w:type="dxa" w:w="2769"/>
          </w:tcPr>
          <w:p>
            <w:pPr>
              <w:pStyle w:val="null3"/>
            </w:pPr>
            <w:r>
              <w:rPr/>
              <w:t>5</w:t>
            </w:r>
          </w:p>
        </w:tc>
        <w:tc>
          <w:tcPr>
            <w:tcW w:type="dxa" w:w="2769"/>
          </w:tcPr>
          <w:p>
            <w:pPr>
              <w:pStyle w:val="null3"/>
              <w:ind w:firstLine="482"/>
              <w:jc w:val="both"/>
            </w:pPr>
            <w:r>
              <w:rPr>
                <w:rFonts w:ascii="宋体" w:hAnsi="宋体" w:cs="宋体" w:eastAsia="宋体"/>
                <w:b/>
                <w:sz w:val="24"/>
              </w:rPr>
              <w:t>商务要求</w:t>
            </w:r>
          </w:p>
          <w:p>
            <w:pPr>
              <w:pStyle w:val="null3"/>
              <w:ind w:firstLine="480"/>
              <w:jc w:val="both"/>
            </w:pPr>
            <w:r>
              <w:rPr>
                <w:rFonts w:ascii="宋体" w:hAnsi="宋体" w:cs="宋体" w:eastAsia="宋体"/>
                <w:sz w:val="24"/>
              </w:rPr>
              <w:t>（一）服务期限</w:t>
            </w:r>
          </w:p>
          <w:p>
            <w:pPr>
              <w:pStyle w:val="null3"/>
              <w:ind w:firstLine="480"/>
              <w:jc w:val="both"/>
            </w:pPr>
            <w:r>
              <w:rPr>
                <w:rFonts w:ascii="宋体" w:hAnsi="宋体" w:cs="宋体" w:eastAsia="宋体"/>
                <w:sz w:val="24"/>
              </w:rPr>
              <w:t>合同签订且甲方提供全部所需基础设备信息后</w:t>
            </w:r>
            <w:r>
              <w:rPr>
                <w:rFonts w:ascii="calibri" w:hAnsi="calibri" w:cs="calibri" w:eastAsia="calibri"/>
                <w:sz w:val="24"/>
              </w:rPr>
              <w:t>180</w:t>
            </w:r>
            <w:r>
              <w:rPr>
                <w:rFonts w:ascii="宋体" w:hAnsi="宋体" w:cs="宋体" w:eastAsia="宋体"/>
                <w:sz w:val="24"/>
              </w:rPr>
              <w:t>日历天内，直至方案通过相关行政部门或专家验收后为止。</w:t>
            </w:r>
          </w:p>
          <w:p>
            <w:pPr>
              <w:pStyle w:val="null3"/>
              <w:ind w:firstLine="480"/>
              <w:jc w:val="both"/>
            </w:pPr>
            <w:r>
              <w:rPr>
                <w:rFonts w:ascii="宋体" w:hAnsi="宋体" w:cs="宋体" w:eastAsia="宋体"/>
                <w:sz w:val="24"/>
              </w:rPr>
              <w:t>（二）款项结算</w:t>
            </w:r>
          </w:p>
          <w:p>
            <w:pPr>
              <w:pStyle w:val="null3"/>
              <w:ind w:firstLine="480"/>
              <w:jc w:val="both"/>
            </w:pPr>
            <w:r>
              <w:rPr>
                <w:rFonts w:ascii="宋体" w:hAnsi="宋体" w:cs="宋体" w:eastAsia="宋体"/>
                <w:sz w:val="24"/>
              </w:rPr>
              <w:t>指明是分批支付，还是一次性付清。服务期短的项目原则上一次付清，服务期长的项目可按月、季、半年分批支付，对单项任务提供服务的，可以按任务完成进度安排。如分批支付，列明各个批次的界限和付款比例。</w:t>
            </w:r>
          </w:p>
          <w:p>
            <w:pPr>
              <w:pStyle w:val="null3"/>
              <w:ind w:firstLine="480"/>
              <w:jc w:val="both"/>
            </w:pPr>
            <w:r>
              <w:rPr>
                <w:rFonts w:ascii="calibri" w:hAnsi="calibri" w:cs="calibri" w:eastAsia="calibri"/>
                <w:sz w:val="24"/>
              </w:rPr>
              <w:t>1.</w:t>
            </w:r>
            <w:r>
              <w:rPr>
                <w:rFonts w:ascii="宋体" w:hAnsi="宋体" w:cs="宋体" w:eastAsia="宋体"/>
                <w:sz w:val="24"/>
              </w:rPr>
              <w:t>合同签订后</w:t>
            </w:r>
            <w:r>
              <w:rPr>
                <w:rFonts w:ascii="calibri" w:hAnsi="calibri" w:cs="calibri" w:eastAsia="calibri"/>
                <w:sz w:val="24"/>
              </w:rPr>
              <w:t>15</w:t>
            </w:r>
            <w:r>
              <w:rPr>
                <w:rFonts w:ascii="宋体" w:hAnsi="宋体" w:cs="宋体" w:eastAsia="宋体"/>
                <w:sz w:val="24"/>
              </w:rPr>
              <w:t>个工作日内，甲方支付乙方合同总金额的</w:t>
            </w:r>
            <w:r>
              <w:rPr>
                <w:rFonts w:ascii="calibri" w:hAnsi="calibri" w:cs="calibri" w:eastAsia="calibri"/>
                <w:sz w:val="24"/>
              </w:rPr>
              <w:t>60%</w:t>
            </w:r>
            <w:r>
              <w:rPr>
                <w:rFonts w:ascii="宋体" w:hAnsi="宋体" w:cs="宋体" w:eastAsia="宋体"/>
                <w:sz w:val="24"/>
              </w:rPr>
              <w:t>。</w:t>
            </w:r>
          </w:p>
          <w:p>
            <w:pPr>
              <w:pStyle w:val="null3"/>
              <w:ind w:firstLine="480"/>
              <w:jc w:val="both"/>
            </w:pPr>
            <w:r>
              <w:rPr>
                <w:rFonts w:ascii="calibri" w:hAnsi="calibri" w:cs="calibri" w:eastAsia="calibri"/>
                <w:sz w:val="24"/>
              </w:rPr>
              <w:t>2.</w:t>
            </w:r>
            <w:r>
              <w:rPr>
                <w:rFonts w:ascii="宋体" w:hAnsi="宋体" w:cs="宋体" w:eastAsia="宋体"/>
                <w:sz w:val="24"/>
              </w:rPr>
              <w:t>乙方提交方案成果后</w:t>
            </w:r>
            <w:r>
              <w:rPr>
                <w:rFonts w:ascii="calibri" w:hAnsi="calibri" w:cs="calibri" w:eastAsia="calibri"/>
                <w:sz w:val="24"/>
              </w:rPr>
              <w:t>15</w:t>
            </w:r>
            <w:r>
              <w:rPr>
                <w:rFonts w:ascii="宋体" w:hAnsi="宋体" w:cs="宋体" w:eastAsia="宋体"/>
                <w:sz w:val="24"/>
              </w:rPr>
              <w:t>个工作日内，甲方支付给乙方合同总金额的</w:t>
            </w:r>
            <w:r>
              <w:rPr>
                <w:rFonts w:ascii="calibri" w:hAnsi="calibri" w:cs="calibri" w:eastAsia="calibri"/>
                <w:sz w:val="24"/>
              </w:rPr>
              <w:t>35%</w:t>
            </w:r>
            <w:r>
              <w:rPr>
                <w:rFonts w:ascii="宋体" w:hAnsi="宋体" w:cs="宋体" w:eastAsia="宋体"/>
                <w:sz w:val="24"/>
              </w:rPr>
              <w:t>。</w:t>
            </w:r>
          </w:p>
          <w:p>
            <w:pPr>
              <w:pStyle w:val="null3"/>
              <w:jc w:val="both"/>
            </w:pPr>
            <w:r>
              <w:rPr>
                <w:rFonts w:ascii="calibri" w:hAnsi="calibri" w:cs="calibri" w:eastAsia="calibri"/>
                <w:sz w:val="24"/>
              </w:rPr>
              <w:t xml:space="preserve">        3.</w:t>
            </w:r>
            <w:r>
              <w:rPr>
                <w:rFonts w:ascii="宋体" w:hAnsi="宋体" w:cs="宋体" w:eastAsia="宋体"/>
                <w:sz w:val="24"/>
              </w:rPr>
              <w:t>乙方提交成果通过相关行政部门或专家审核后</w:t>
            </w:r>
            <w:r>
              <w:rPr>
                <w:rFonts w:ascii="calibri" w:hAnsi="calibri" w:cs="calibri" w:eastAsia="calibri"/>
                <w:sz w:val="24"/>
              </w:rPr>
              <w:t>15</w:t>
            </w:r>
            <w:r>
              <w:rPr>
                <w:rFonts w:ascii="宋体" w:hAnsi="宋体" w:cs="宋体" w:eastAsia="宋体"/>
                <w:sz w:val="24"/>
              </w:rPr>
              <w:t>个工作日内，甲方支付给乙方合同总金额的</w:t>
            </w:r>
            <w:r>
              <w:rPr>
                <w:rFonts w:ascii="calibri" w:hAnsi="calibri" w:cs="calibri" w:eastAsia="calibri"/>
                <w:sz w:val="24"/>
              </w:rPr>
              <w:t>5%</w:t>
            </w:r>
            <w:r>
              <w:rPr>
                <w:rFonts w:ascii="宋体" w:hAnsi="宋体" w:cs="宋体" w:eastAsia="宋体"/>
                <w:sz w:val="24"/>
              </w:rPr>
              <w:t>。</w:t>
            </w:r>
          </w:p>
        </w:tc>
      </w:tr>
      <w:tr>
        <w:tc>
          <w:tcPr>
            <w:tcW w:type="dxa" w:w="2769"/>
          </w:tcPr>
          <w:p/>
        </w:tc>
        <w:tc>
          <w:tcPr>
            <w:tcW w:type="dxa" w:w="2769"/>
          </w:tcPr>
          <w:p>
            <w:pPr>
              <w:pStyle w:val="null3"/>
            </w:pPr>
            <w:r>
              <w:rPr/>
              <w:t>6</w:t>
            </w:r>
          </w:p>
        </w:tc>
        <w:tc>
          <w:tcPr>
            <w:tcW w:type="dxa" w:w="2769"/>
          </w:tcPr>
          <w:p>
            <w:pPr>
              <w:pStyle w:val="null3"/>
              <w:ind w:firstLine="480"/>
              <w:jc w:val="both"/>
            </w:pPr>
            <w:r>
              <w:rPr>
                <w:rFonts w:ascii="宋体" w:hAnsi="宋体" w:cs="宋体" w:eastAsia="宋体"/>
                <w:b/>
                <w:sz w:val="24"/>
              </w:rPr>
              <w:t>其他</w:t>
            </w:r>
          </w:p>
          <w:p>
            <w:pPr>
              <w:pStyle w:val="null3"/>
              <w:ind w:firstLine="480"/>
              <w:jc w:val="both"/>
            </w:pPr>
            <w:r>
              <w:rPr>
                <w:rFonts w:ascii="宋体" w:hAnsi="宋体" w:cs="宋体" w:eastAsia="宋体"/>
                <w:sz w:val="24"/>
              </w:rPr>
              <w:t>（一）成果交付要求</w:t>
            </w:r>
          </w:p>
          <w:p>
            <w:pPr>
              <w:pStyle w:val="null3"/>
              <w:ind w:firstLine="480"/>
              <w:jc w:val="both"/>
            </w:pPr>
            <w:r>
              <w:rPr>
                <w:rFonts w:ascii="calibri" w:hAnsi="calibri" w:cs="calibri" w:eastAsia="calibri"/>
                <w:sz w:val="24"/>
              </w:rPr>
              <w:t>1.</w:t>
            </w:r>
            <w:r>
              <w:rPr>
                <w:rFonts w:ascii="宋体" w:hAnsi="宋体" w:cs="宋体" w:eastAsia="宋体"/>
                <w:sz w:val="24"/>
              </w:rPr>
              <w:t>系统软件：要求服务商交付完备的奶羊繁殖育种数字化管理系统软件，包括前端和后端的开发。确保系统具有稳定的性能、良好的用户界面和易用性。</w:t>
            </w:r>
          </w:p>
          <w:p>
            <w:pPr>
              <w:pStyle w:val="null3"/>
              <w:ind w:firstLine="480"/>
              <w:jc w:val="both"/>
            </w:pPr>
            <w:r>
              <w:rPr>
                <w:rFonts w:ascii="calibri" w:hAnsi="calibri" w:cs="calibri" w:eastAsia="calibri"/>
                <w:sz w:val="24"/>
              </w:rPr>
              <w:t>2.</w:t>
            </w:r>
            <w:r>
              <w:rPr>
                <w:rFonts w:ascii="宋体" w:hAnsi="宋体" w:cs="宋体" w:eastAsia="宋体"/>
                <w:sz w:val="24"/>
              </w:rPr>
              <w:t>数据管理：要求系统能够有效地管理奶羊的繁殖和育种数据，包括个体信息、繁殖记录、遗传信息等。确保数据的准确性、完整性和安全性。</w:t>
            </w:r>
          </w:p>
          <w:p>
            <w:pPr>
              <w:pStyle w:val="null3"/>
              <w:ind w:firstLine="480"/>
              <w:jc w:val="both"/>
            </w:pPr>
            <w:r>
              <w:rPr>
                <w:rFonts w:ascii="calibri" w:hAnsi="calibri" w:cs="calibri" w:eastAsia="calibri"/>
                <w:sz w:val="24"/>
              </w:rPr>
              <w:t>3.</w:t>
            </w:r>
            <w:r>
              <w:rPr>
                <w:rFonts w:ascii="宋体" w:hAnsi="宋体" w:cs="宋体" w:eastAsia="宋体"/>
                <w:sz w:val="24"/>
              </w:rPr>
              <w:t>智能设备集成：要求系统能够与动物智能项圈、智能耳标等设备进行无缝集成，实现奶羊数据的自动采集和管理。确保设备与系统的兼容性和稳定性。</w:t>
            </w:r>
          </w:p>
          <w:p>
            <w:pPr>
              <w:pStyle w:val="null3"/>
              <w:ind w:firstLine="480"/>
              <w:jc w:val="both"/>
            </w:pPr>
            <w:r>
              <w:rPr>
                <w:rFonts w:ascii="calibri" w:hAnsi="calibri" w:cs="calibri" w:eastAsia="calibri"/>
                <w:sz w:val="24"/>
              </w:rPr>
              <w:t>4.</w:t>
            </w:r>
            <w:r>
              <w:rPr>
                <w:rFonts w:ascii="宋体" w:hAnsi="宋体" w:cs="宋体" w:eastAsia="宋体"/>
                <w:sz w:val="24"/>
              </w:rPr>
              <w:t>报表和分析功能：要求系统能够生成各类报表和分析结果，帮助用户了解奶羊繁殖和育种的情况。报表和分析结果应直观、易懂，并提供有用的决策支持信息。</w:t>
            </w:r>
          </w:p>
          <w:p>
            <w:pPr>
              <w:pStyle w:val="null3"/>
              <w:ind w:firstLine="480"/>
              <w:jc w:val="both"/>
            </w:pPr>
            <w:r>
              <w:rPr>
                <w:rFonts w:ascii="calibri" w:hAnsi="calibri" w:cs="calibri" w:eastAsia="calibri"/>
                <w:sz w:val="24"/>
              </w:rPr>
              <w:t>5.</w:t>
            </w:r>
            <w:r>
              <w:rPr>
                <w:rFonts w:ascii="宋体" w:hAnsi="宋体" w:cs="宋体" w:eastAsia="宋体"/>
                <w:sz w:val="24"/>
              </w:rPr>
              <w:t>培训材料和文档：要求服务商提供详尽的培训材料和系统文档，以帮助用户理解和使用系统。培训材料和文档应包括系统的操作指南、故障排除方法等。</w:t>
            </w:r>
          </w:p>
          <w:p>
            <w:pPr>
              <w:pStyle w:val="null3"/>
              <w:ind w:firstLine="480"/>
              <w:jc w:val="both"/>
            </w:pPr>
            <w:r>
              <w:rPr>
                <w:rFonts w:ascii="宋体" w:hAnsi="宋体" w:cs="宋体" w:eastAsia="宋体"/>
                <w:sz w:val="24"/>
              </w:rPr>
              <w:t>（二）质量验收标准或规范</w:t>
            </w:r>
          </w:p>
          <w:p>
            <w:pPr>
              <w:pStyle w:val="null3"/>
              <w:ind w:firstLine="480"/>
              <w:jc w:val="both"/>
            </w:pPr>
            <w:r>
              <w:rPr>
                <w:rFonts w:ascii="calibri" w:hAnsi="calibri" w:cs="calibri" w:eastAsia="calibri"/>
                <w:sz w:val="24"/>
              </w:rPr>
              <w:t>1</w:t>
            </w:r>
            <w:r>
              <w:rPr>
                <w:rFonts w:ascii="宋体" w:hAnsi="宋体" w:cs="宋体" w:eastAsia="宋体"/>
                <w:sz w:val="24"/>
              </w:rPr>
              <w:t>、《畜牧业信息化技术规范》（</w:t>
            </w:r>
            <w:r>
              <w:rPr>
                <w:rFonts w:ascii="calibri" w:hAnsi="calibri" w:cs="calibri" w:eastAsia="calibri"/>
                <w:sz w:val="24"/>
              </w:rPr>
              <w:t>GB/T34792-2017</w:t>
            </w:r>
            <w:r>
              <w:rPr>
                <w:rFonts w:ascii="宋体" w:hAnsi="宋体" w:cs="宋体" w:eastAsia="宋体"/>
                <w:sz w:val="24"/>
              </w:rPr>
              <w:t>）</w:t>
            </w:r>
          </w:p>
          <w:p>
            <w:pPr>
              <w:pStyle w:val="null3"/>
              <w:ind w:firstLine="480"/>
              <w:jc w:val="both"/>
            </w:pPr>
            <w:r>
              <w:rPr>
                <w:rFonts w:ascii="calibri" w:hAnsi="calibri" w:cs="calibri" w:eastAsia="calibri"/>
                <w:sz w:val="24"/>
              </w:rPr>
              <w:t>2</w:t>
            </w:r>
            <w:r>
              <w:rPr>
                <w:rFonts w:ascii="宋体" w:hAnsi="宋体" w:cs="宋体" w:eastAsia="宋体"/>
                <w:sz w:val="24"/>
              </w:rPr>
              <w:t>、《物联网智慧农业数据传输技术就要求》（</w:t>
            </w:r>
            <w:r>
              <w:rPr>
                <w:rFonts w:ascii="calibri" w:hAnsi="calibri" w:cs="calibri" w:eastAsia="calibri"/>
                <w:sz w:val="24"/>
              </w:rPr>
              <w:t>20213268-T-469</w:t>
            </w:r>
            <w:r>
              <w:rPr>
                <w:rFonts w:ascii="宋体" w:hAnsi="宋体" w:cs="宋体" w:eastAsia="宋体"/>
                <w:sz w:val="24"/>
              </w:rPr>
              <w:t>）</w:t>
            </w:r>
          </w:p>
          <w:p>
            <w:pPr>
              <w:pStyle w:val="null3"/>
              <w:ind w:firstLine="480"/>
              <w:jc w:val="both"/>
            </w:pPr>
            <w:r>
              <w:rPr>
                <w:rFonts w:ascii="calibri" w:hAnsi="calibri" w:cs="calibri" w:eastAsia="calibri"/>
                <w:sz w:val="24"/>
              </w:rPr>
              <w:t>3</w:t>
            </w:r>
            <w:r>
              <w:rPr>
                <w:rFonts w:ascii="宋体" w:hAnsi="宋体" w:cs="宋体" w:eastAsia="宋体"/>
                <w:sz w:val="24"/>
              </w:rPr>
              <w:t>、《农业物联网应用服务》（</w:t>
            </w:r>
            <w:r>
              <w:rPr>
                <w:rFonts w:ascii="calibri" w:hAnsi="calibri" w:cs="calibri" w:eastAsia="calibri"/>
                <w:sz w:val="24"/>
              </w:rPr>
              <w:t>GB/T41187-2021</w:t>
            </w:r>
            <w:r>
              <w:rPr>
                <w:rFonts w:ascii="宋体" w:hAnsi="宋体" w:cs="宋体" w:eastAsia="宋体"/>
                <w:sz w:val="24"/>
              </w:rPr>
              <w:t>）</w:t>
            </w:r>
          </w:p>
          <w:p>
            <w:pPr>
              <w:pStyle w:val="null3"/>
              <w:ind w:firstLine="480"/>
              <w:jc w:val="both"/>
            </w:pPr>
            <w:r>
              <w:rPr>
                <w:rFonts w:ascii="calibri" w:hAnsi="calibri" w:cs="calibri" w:eastAsia="calibri"/>
                <w:sz w:val="24"/>
              </w:rPr>
              <w:t>4</w:t>
            </w:r>
            <w:r>
              <w:rPr>
                <w:rFonts w:ascii="宋体" w:hAnsi="宋体" w:cs="宋体" w:eastAsia="宋体"/>
                <w:sz w:val="24"/>
              </w:rPr>
              <w:t>、《信息技术安全技术信息安全管理体系要求》（</w:t>
            </w:r>
            <w:r>
              <w:rPr>
                <w:rFonts w:ascii="calibri" w:hAnsi="calibri" w:cs="calibri" w:eastAsia="calibri"/>
                <w:sz w:val="24"/>
              </w:rPr>
              <w:t>GB/T22080-2016</w:t>
            </w:r>
            <w:r>
              <w:rPr>
                <w:rFonts w:ascii="宋体" w:hAnsi="宋体" w:cs="宋体" w:eastAsia="宋体"/>
                <w:sz w:val="24"/>
              </w:rPr>
              <w:t>）</w:t>
            </w:r>
          </w:p>
          <w:p>
            <w:pPr>
              <w:pStyle w:val="null3"/>
              <w:jc w:val="both"/>
            </w:pPr>
            <w:r>
              <w:rPr>
                <w:rFonts w:ascii="calibri" w:hAnsi="calibri" w:cs="calibri" w:eastAsia="calibri"/>
                <w:sz w:val="24"/>
              </w:rPr>
              <w:t xml:space="preserve">         5</w:t>
            </w:r>
            <w:r>
              <w:rPr>
                <w:rFonts w:ascii="宋体" w:hAnsi="宋体" w:cs="宋体" w:eastAsia="宋体"/>
                <w:sz w:val="24"/>
              </w:rPr>
              <w:t>、《信息安全技术信息系统安全运维管理指南》（</w:t>
            </w:r>
            <w:r>
              <w:rPr>
                <w:rFonts w:ascii="calibri" w:hAnsi="calibri" w:cs="calibri" w:eastAsia="calibri"/>
                <w:sz w:val="24"/>
              </w:rPr>
              <w:t>GB/T36626-2018</w:t>
            </w:r>
            <w:r>
              <w:rPr>
                <w:rFonts w:ascii="宋体" w:hAnsi="宋体" w:cs="宋体" w:eastAsia="宋体"/>
                <w:sz w:val="24"/>
              </w:rPr>
              <w:t>）</w:t>
            </w:r>
          </w:p>
        </w:tc>
      </w:tr>
    </w:tbl>
    <w:p>
      <w:pPr>
        <w:pStyle w:val="null3"/>
        <w:outlineLvl w:val="2"/>
      </w:pPr>
      <w:r>
        <w:rPr>
          <w:b/>
          <w:sz w:val="28"/>
        </w:rPr>
        <w:t>3.2.3人员配置要求</w:t>
      </w:r>
    </w:p>
    <w:p>
      <w:pPr>
        <w:pStyle w:val="null3"/>
      </w:pPr>
      <w:r>
        <w:rPr/>
        <w:t>采购包1：</w:t>
      </w:r>
    </w:p>
    <w:p>
      <w:pPr>
        <w:pStyle w:val="null3"/>
      </w:pPr>
      <w:r>
        <w:rPr/>
        <w:t>详见服务要求</w:t>
      </w:r>
    </w:p>
    <w:p>
      <w:pPr>
        <w:pStyle w:val="null3"/>
        <w:outlineLvl w:val="2"/>
      </w:pPr>
      <w:r>
        <w:rPr>
          <w:b/>
          <w:sz w:val="28"/>
        </w:rPr>
        <w:t>3.2.4设施设备要求</w:t>
      </w:r>
    </w:p>
    <w:p>
      <w:pPr>
        <w:pStyle w:val="null3"/>
      </w:pPr>
      <w:r>
        <w:rPr/>
        <w:t>采购包1：</w:t>
      </w:r>
    </w:p>
    <w:p>
      <w:pPr>
        <w:pStyle w:val="null3"/>
      </w:pPr>
      <w:r>
        <w:rPr/>
        <w:t>详见服务要求</w:t>
      </w:r>
    </w:p>
    <w:p>
      <w:pPr>
        <w:pStyle w:val="null3"/>
        <w:outlineLvl w:val="2"/>
      </w:pPr>
      <w:r>
        <w:rPr>
          <w:b/>
          <w:sz w:val="28"/>
        </w:rPr>
        <w:t>3.2.5其他要求</w:t>
      </w:r>
    </w:p>
    <w:p>
      <w:pPr>
        <w:pStyle w:val="null3"/>
      </w:pPr>
      <w:r>
        <w:rPr/>
        <w:t>采购包1：</w:t>
      </w:r>
    </w:p>
    <w:p>
      <w:pPr>
        <w:pStyle w:val="null3"/>
      </w:pPr>
      <w:r>
        <w:rPr/>
        <w:t>详见服务要求</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合同签订且甲方提供全部所需基础设备信息后180日历天内，直至方案通过相关行政部门或专家验收后为止。</w:t>
      </w:r>
    </w:p>
    <w:p>
      <w:pPr>
        <w:pStyle w:val="null3"/>
        <w:outlineLvl w:val="3"/>
      </w:pPr>
      <w:r>
        <w:rPr>
          <w:b/>
          <w:sz w:val="24"/>
        </w:rPr>
        <w:t>3.3.2服务地点</w:t>
      </w:r>
    </w:p>
    <w:p>
      <w:pPr>
        <w:pStyle w:val="null3"/>
      </w:pPr>
      <w:r>
        <w:rPr/>
        <w:t>采购包1：</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1、《畜牧业信息化技术规范》（GB/T34792-2017） 2、《物联网智慧农业数据传输技术就要求》（20213268-T-469） 3、《农业物联网应用服务》（GB/T41187-2021） 4、《信息技术安全技术信息安全管理体系要求》（GB/T22080-2016） 5、《信息安全技术信息系统安全运维管理指南》（GB/T36626-2018）</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合同签订后 ，达到付款条件</w:t>
      </w:r>
      <w:r>
        <w:rPr/>
        <w:t xml:space="preserve"> ，达到付款条件起 </w:t>
      </w:r>
      <w:r>
        <w:rPr/>
        <w:t>15</w:t>
      </w:r>
      <w:r>
        <w:rPr/>
        <w:t xml:space="preserve"> 日内，支付合同总金额的 </w:t>
      </w:r>
      <w:r>
        <w:rPr/>
        <w:t>60.00</w:t>
      </w:r>
      <w:r>
        <w:rPr/>
        <w:t>%。</w:t>
      </w:r>
    </w:p>
    <w:p>
      <w:pPr>
        <w:pStyle w:val="null3"/>
      </w:pPr>
      <w:r>
        <w:rPr/>
        <w:t>采购包1：</w:t>
      </w:r>
      <w:r>
        <w:rPr/>
        <w:t xml:space="preserve"> 付款条件说明： </w:t>
      </w:r>
      <w:r>
        <w:rPr/>
        <w:t>乙方提交方案成果后 ，达到付款条件</w:t>
      </w:r>
      <w:r>
        <w:rPr/>
        <w:t xml:space="preserve"> ，达到付款条件起 </w:t>
      </w:r>
      <w:r>
        <w:rPr/>
        <w:t>15</w:t>
      </w:r>
      <w:r>
        <w:rPr/>
        <w:t xml:space="preserve"> 日内，支付合同总金额的 </w:t>
      </w:r>
      <w:r>
        <w:rPr/>
        <w:t>35.00</w:t>
      </w:r>
      <w:r>
        <w:rPr/>
        <w:t>%。</w:t>
      </w:r>
    </w:p>
    <w:p>
      <w:pPr>
        <w:pStyle w:val="null3"/>
      </w:pPr>
      <w:r>
        <w:rPr/>
        <w:t>采购包1：</w:t>
      </w:r>
      <w:r>
        <w:rPr/>
        <w:t xml:space="preserve"> 付款条件说明： </w:t>
      </w:r>
      <w:r>
        <w:rPr/>
        <w:t>乙方提交成果通过相关行政部门或专家审核后 ，达到付款条件</w:t>
      </w:r>
      <w:r>
        <w:rPr/>
        <w:t xml:space="preserve"> ，达到付款条件起 </w:t>
      </w:r>
      <w:r>
        <w:rPr/>
        <w:t>15</w:t>
      </w:r>
      <w:r>
        <w:rPr/>
        <w:t xml:space="preserve"> 日内，支付合同总金额的 </w:t>
      </w:r>
      <w:r>
        <w:rPr/>
        <w:t>5.00</w:t>
      </w:r>
      <w:r>
        <w:rPr/>
        <w:t>%。</w:t>
      </w:r>
    </w:p>
    <w:p>
      <w:pPr>
        <w:pStyle w:val="null3"/>
        <w:outlineLvl w:val="3"/>
      </w:pPr>
      <w:r>
        <w:rPr>
          <w:b/>
          <w:sz w:val="24"/>
        </w:rPr>
        <w:t>3.3.6违约责任及解决争议的方法</w:t>
      </w:r>
    </w:p>
    <w:p>
      <w:pPr>
        <w:pStyle w:val="null3"/>
      </w:pPr>
      <w:r>
        <w:rPr/>
        <w:t>采购包1：</w:t>
      </w:r>
    </w:p>
    <w:p>
      <w:pPr>
        <w:pStyle w:val="null3"/>
      </w:pPr>
      <w:r>
        <w:rPr/>
        <w:t>违约方对违约所造成的损失承担全部责任</w:t>
      </w:r>
    </w:p>
    <w:p>
      <w:pPr>
        <w:pStyle w:val="null3"/>
        <w:outlineLvl w:val="2"/>
      </w:pPr>
      <w:r>
        <w:rPr>
          <w:b/>
          <w:sz w:val="28"/>
        </w:rPr>
        <w:t>3.4其他要求</w:t>
      </w:r>
    </w:p>
    <w:p>
      <w:pPr>
        <w:pStyle w:val="null3"/>
      </w:pPr>
      <w:r>
        <w:rPr/>
        <w:t>磋商实行两轮报价。第一轮报价后，磋商小组可以根据项目实施情况调整采购需求，第二轮报价为最终报价。如采购需求没有实质性变化，各供应商的报价应逐次降低，本次报价超过上次报价的，为无效报价。</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供应商须具有独立承担民事责任能力的法人、其他组织或自然人，提供营业执照/事业单位法人证书/非企业专业服务机构执业许可证/自然人身份证。</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供应商应授权合法的人员参加磋商全过程</w:t>
            </w:r>
          </w:p>
        </w:tc>
        <w:tc>
          <w:tcPr>
            <w:tcW w:type="dxa" w:w="3322"/>
          </w:tcPr>
          <w:p>
            <w:pPr>
              <w:pStyle w:val="null3"/>
            </w:pPr>
            <w:r>
              <w:rPr/>
              <w:t>其中法定代表人直接参加磋商的，须出具法人身份证复印件，并与营业执照上信息一致。法定代表人授权代表参加磋商的，须出具法定代表人授权书。</w:t>
            </w:r>
          </w:p>
        </w:tc>
        <w:tc>
          <w:tcPr>
            <w:tcW w:type="dxa" w:w="1661"/>
          </w:tcPr>
          <w:p>
            <w:pPr>
              <w:pStyle w:val="null3"/>
            </w:pPr>
            <w:r>
              <w:rPr/>
              <w:t>法人授权委托书 法定代表人身份证明</w:t>
            </w:r>
          </w:p>
        </w:tc>
      </w:tr>
      <w:tr>
        <w:tc>
          <w:tcPr>
            <w:tcW w:type="dxa" w:w="831"/>
          </w:tcPr>
          <w:p>
            <w:pPr>
              <w:pStyle w:val="null3"/>
            </w:pPr>
            <w:r>
              <w:rPr/>
              <w:t>3</w:t>
            </w:r>
          </w:p>
        </w:tc>
        <w:tc>
          <w:tcPr>
            <w:tcW w:type="dxa" w:w="2492"/>
          </w:tcPr>
          <w:p>
            <w:pPr>
              <w:pStyle w:val="null3"/>
            </w:pPr>
            <w:r>
              <w:rPr/>
              <w:t>供应商健全的财务证明资料</w:t>
            </w:r>
          </w:p>
        </w:tc>
        <w:tc>
          <w:tcPr>
            <w:tcW w:type="dxa" w:w="3322"/>
          </w:tcPr>
          <w:p>
            <w:pPr>
              <w:pStyle w:val="null3"/>
            </w:pPr>
            <w:r>
              <w:rPr/>
              <w:t>①可提供2022或2023年度经审计的财务报告（包含审计报告和审计报告中所涉及的财务报表和报表附注），②可提供2022或2023年度供应商完整的全套财务报表（应当包括资产负债表、利润表、现金流量表、所有者权益变动表、附注），③可提供截至响应文件提交截止日一年内银行出具的资信证明，④供应商注册时间截至响应文件提交截止日不足一年的，也可提供在工商管理部门备案的公司章程。</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依法缴纳税收的良好记录</w:t>
            </w:r>
          </w:p>
        </w:tc>
        <w:tc>
          <w:tcPr>
            <w:tcW w:type="dxa" w:w="3322"/>
          </w:tcPr>
          <w:p>
            <w:pPr>
              <w:pStyle w:val="null3"/>
            </w:pPr>
            <w:r>
              <w:rPr/>
              <w:t>提供截止至开标时间前12个月内任一月份的缴费凭据,依法免税的单位应提供相关证明材料。</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依法缴纳社会保障资金的良好记录</w:t>
            </w:r>
          </w:p>
        </w:tc>
        <w:tc>
          <w:tcPr>
            <w:tcW w:type="dxa" w:w="3322"/>
          </w:tcPr>
          <w:p>
            <w:pPr>
              <w:pStyle w:val="null3"/>
            </w:pPr>
            <w:r>
              <w:rPr/>
              <w:t>提供截止至开标时间前12个月内任一月份的缴费凭据或社保机构开具的社会保险参保缴费情况证明，依法不需要缴纳社会保障资金的单位应提供相关证明材料。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参加政府采购活动前3年内在经营活动中没有重大违法记录</w:t>
            </w:r>
          </w:p>
        </w:tc>
        <w:tc>
          <w:tcPr>
            <w:tcW w:type="dxa" w:w="3322"/>
          </w:tcPr>
          <w:p>
            <w:pPr>
              <w:pStyle w:val="null3"/>
            </w:pPr>
            <w:r>
              <w:rPr/>
              <w:t>提供参加政府采购活动前3年内在经营活动中没有重大违法记录的书面声明。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具备履行合同所必需的设备和专业技术能力的证明材料</w:t>
            </w:r>
          </w:p>
        </w:tc>
        <w:tc>
          <w:tcPr>
            <w:tcW w:type="dxa" w:w="3322"/>
          </w:tcPr>
          <w:p>
            <w:pPr>
              <w:pStyle w:val="null3"/>
            </w:pPr>
            <w:r>
              <w:rPr/>
              <w:t>由供应商根据项目需求提供说明材料或者承诺。</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信用查询</w:t>
            </w:r>
          </w:p>
        </w:tc>
        <w:tc>
          <w:tcPr>
            <w:tcW w:type="dxa" w:w="3322"/>
          </w:tcPr>
          <w:p>
            <w:pPr>
              <w:pStyle w:val="null3"/>
            </w:pPr>
            <w:r>
              <w:rPr/>
              <w:t>供应商不得为“信用中国”网站（www.creditchina.gov.cn ）中列入失信被执行人和重大税收违法失信主体的供应商，不得为中国政府采购网（www.ccgp.gov.cn ）政府采购严重违法失信行为记录名单中被财政部门禁止参加政府采购活动的供应商。</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本项目不接受联合体磋商，单位负责人为同一人或者存在控股、管理关系的不同单位不得同时参加磋商</w:t>
            </w:r>
          </w:p>
        </w:tc>
        <w:tc>
          <w:tcPr>
            <w:tcW w:type="dxa" w:w="3322"/>
          </w:tcPr>
          <w:p>
            <w:pPr>
              <w:pStyle w:val="null3"/>
            </w:pPr>
            <w:r>
              <w:rPr/>
              <w:t>本项目不接受联合体磋商，单位负责人为同一人或者存在控股、管理关系的不同单位不得同时参加磋商（提供承诺或相关说明并加盖公章）。</w:t>
            </w:r>
          </w:p>
        </w:tc>
        <w:tc>
          <w:tcPr>
            <w:tcW w:type="dxa" w:w="1661"/>
          </w:tcPr>
          <w:p>
            <w:pPr>
              <w:pStyle w:val="null3"/>
            </w:pPr>
            <w:r>
              <w:rPr/>
              <w:t>供应商应提交的相关资格证明材料</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有效性审查</w:t>
            </w:r>
          </w:p>
        </w:tc>
        <w:tc>
          <w:tcPr>
            <w:tcW w:type="dxa" w:w="3322"/>
          </w:tcPr>
          <w:p>
            <w:pPr>
              <w:pStyle w:val="null3"/>
            </w:pPr>
            <w:r>
              <w:rPr/>
              <w:t>（1）响应文件的签字、盖章：响应文件上法定代表人或其委托代理人的签字齐全并加盖单位章；响应文件应逐页加盖单位公章，且公章清晰可见； （2）响应文件格式：应符合响应文件要求； （3）报价唯一：只能有一个有效报价，不得提交选择性报价，且报价不超过采购预算。</w:t>
            </w:r>
          </w:p>
        </w:tc>
        <w:tc>
          <w:tcPr>
            <w:tcW w:type="dxa" w:w="1661"/>
          </w:tcPr>
          <w:p>
            <w:pPr>
              <w:pStyle w:val="null3"/>
            </w:pPr>
            <w:r>
              <w:rPr/>
              <w:t>服务内容及服务邀请应答表 分项报价表 中小企业声明函 商务应答表 法定代表人身份证明 供应商应提交的相关资格证明材料 报价表 响应文件封面 法人授权委托书 残疾人福利性单位声明函 服务方案 标的清单 响应函 监狱企业的证明文件</w:t>
            </w:r>
          </w:p>
        </w:tc>
      </w:tr>
      <w:tr>
        <w:tc>
          <w:tcPr>
            <w:tcW w:type="dxa" w:w="831"/>
          </w:tcPr>
          <w:p>
            <w:pPr>
              <w:pStyle w:val="null3"/>
            </w:pPr>
            <w:r>
              <w:rPr/>
              <w:t>3</w:t>
            </w:r>
          </w:p>
        </w:tc>
        <w:tc>
          <w:tcPr>
            <w:tcW w:type="dxa" w:w="2492"/>
          </w:tcPr>
          <w:p>
            <w:pPr>
              <w:pStyle w:val="null3"/>
            </w:pPr>
            <w:r>
              <w:rPr/>
              <w:t>完整性审查</w:t>
            </w:r>
          </w:p>
        </w:tc>
        <w:tc>
          <w:tcPr>
            <w:tcW w:type="dxa" w:w="3322"/>
          </w:tcPr>
          <w:p>
            <w:pPr>
              <w:pStyle w:val="null3"/>
            </w:pPr>
            <w:r>
              <w:rPr/>
              <w:t>响应文件内容齐全、无遗漏。</w:t>
            </w:r>
          </w:p>
        </w:tc>
        <w:tc>
          <w:tcPr>
            <w:tcW w:type="dxa" w:w="1661"/>
          </w:tcPr>
          <w:p>
            <w:pPr>
              <w:pStyle w:val="null3"/>
            </w:pPr>
            <w:r>
              <w:rPr/>
              <w:t>服务内容及服务邀请应答表 分项报价表 中小企业声明函 商务应答表 法定代表人身份证明 供应商应提交的相关资格证明材料 报价表 响应文件封面 法人授权委托书 残疾人福利性单位声明函 服务方案 标的清单 响应函 监狱企业的证明文件</w:t>
            </w:r>
          </w:p>
        </w:tc>
      </w:tr>
      <w:tr>
        <w:tc>
          <w:tcPr>
            <w:tcW w:type="dxa" w:w="831"/>
          </w:tcPr>
          <w:p>
            <w:pPr>
              <w:pStyle w:val="null3"/>
            </w:pPr>
            <w:r>
              <w:rPr/>
              <w:t>4</w:t>
            </w:r>
          </w:p>
        </w:tc>
        <w:tc>
          <w:tcPr>
            <w:tcW w:type="dxa" w:w="2492"/>
          </w:tcPr>
          <w:p>
            <w:pPr>
              <w:pStyle w:val="null3"/>
            </w:pPr>
            <w:r>
              <w:rPr/>
              <w:t>响应性审查</w:t>
            </w:r>
          </w:p>
        </w:tc>
        <w:tc>
          <w:tcPr>
            <w:tcW w:type="dxa" w:w="3322"/>
          </w:tcPr>
          <w:p>
            <w:pPr>
              <w:pStyle w:val="null3"/>
            </w:pPr>
            <w:r>
              <w:rPr/>
              <w:t>（1）对磋商文件响应程度：要求全面响应，不能有任何采购人不能接受的附加条件； （2）拟提供服务响应程度；应满足磋商文件提出的技术和服务要求。不允许技术参数负偏离； （3）服务期：合同签订且甲方提供全部所需基础设备信息后180日历天内，直至方案通过相关行政部门或专家验收后为止； （4）服务地点：采购人指定地点； （5）磋商有效期 ：应满足磋商文件中的规定。</w:t>
            </w:r>
          </w:p>
        </w:tc>
        <w:tc>
          <w:tcPr>
            <w:tcW w:type="dxa" w:w="1661"/>
          </w:tcPr>
          <w:p>
            <w:pPr>
              <w:pStyle w:val="null3"/>
            </w:pPr>
            <w:r>
              <w:rPr/>
              <w:t>服务内容及服务邀请应答表 分项报价表 中小企业声明函 商务应答表 法定代表人身份证明 供应商应提交的相关资格证明材料 报价表 响应文件封面 法人授权委托书 残疾人福利性单位声明函 服务方案 标的清单 响应函 监狱企业的证明文件</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整体服务方案</w:t>
            </w:r>
          </w:p>
        </w:tc>
        <w:tc>
          <w:tcPr>
            <w:tcW w:type="dxa" w:w="2492"/>
          </w:tcPr>
          <w:p>
            <w:pPr>
              <w:pStyle w:val="null3"/>
            </w:pPr>
            <w:r>
              <w:rPr/>
              <w:t>供应商提供针对本项目的整体实施方案，方案应详细完善，能保质保量完成本项目采购人所要求的全部内容。服务方案结构和思路清晰、重点突出，具有针对性和可操作性，包含但不限于招标文件要求内容计7-9分；服务方案结构完整，具有一定的针对性和可操作性，能基本满足招标文件要求计4-6分；服务方案结构不够完整，不具备针对性和可操作性计1—3分。无方案不得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奶山羊育种管理信息系统</w:t>
            </w:r>
          </w:p>
        </w:tc>
        <w:tc>
          <w:tcPr>
            <w:tcW w:type="dxa" w:w="2492"/>
          </w:tcPr>
          <w:p>
            <w:pPr>
              <w:pStyle w:val="null3"/>
            </w:pPr>
            <w:r>
              <w:rPr/>
              <w:t>供应商提供数字化养殖管理平台的设计理念，应至少包括档案管理、基础信息管理、标准管理、养殖管理、统计分析等功能。设计理念思路清晰、重点突出，具有针对性和可操作性，包含但不限于招标文件要求内容计7-9分；设计理念结构完整，具有一定的针对性和可操作性，能基本满足招标文件要求计4-6分；设计理念结构不够完整，不具备针对性和可操作性计1—3分。无方案不得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大数据一张图平台</w:t>
            </w:r>
          </w:p>
        </w:tc>
        <w:tc>
          <w:tcPr>
            <w:tcW w:type="dxa" w:w="2492"/>
          </w:tcPr>
          <w:p>
            <w:pPr>
              <w:pStyle w:val="null3"/>
            </w:pPr>
            <w:r>
              <w:rPr/>
              <w:t>供应商提供大数据一张图平台的设计理念，应能实现养殖概况、产量概况、产业概况、存栏量、产奶量等维度的数据分析展示。设计理念思路清晰、重点突出，具有针对性和可操作性，包含但不限于招标文件要求内容计7-9分；设计理念结构完整，具有一定的针对性和可操作性，能基本满足招标文件要求计4-6分；设计理念结构不够完整，不具备针对性和可操作性计1—3分。无方案不得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大数据决策分析平台</w:t>
            </w:r>
          </w:p>
        </w:tc>
        <w:tc>
          <w:tcPr>
            <w:tcW w:type="dxa" w:w="2492"/>
          </w:tcPr>
          <w:p>
            <w:pPr>
              <w:pStyle w:val="null3"/>
            </w:pPr>
            <w:r>
              <w:rPr/>
              <w:t>供应商提供大数据决策分析平台的设计理念，应能实现利用可视化引擎直观展示数据分析结果，为奶山羊产业发展工作提供大数据决策支持，满足不同管理角色、不同业务场景下的可视化分析、动态展示和决策需求。设计理念思路清晰、重点突出，具有针对性和可操作性，包含但不限于招标文件要求内容计7-9分；设计理念结构完整，具有一定的针对性和可操作性，能基本满足招标文件要求计4-6分；设计理念结构不够完整，不具备针对性和可操作性计1—3分。无方案不得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奶山羊数据资源中心</w:t>
            </w:r>
          </w:p>
        </w:tc>
        <w:tc>
          <w:tcPr>
            <w:tcW w:type="dxa" w:w="2492"/>
          </w:tcPr>
          <w:p>
            <w:pPr>
              <w:pStyle w:val="null3"/>
            </w:pPr>
            <w:r>
              <w:rPr/>
              <w:t>供应商提供奶山羊数据资源中心的设计理念，通过建设奶山羊数据资源库，汇聚各个环节的基础数据，通过分析挖掘为奶山羊产业各个生产经营主体提供服务。设计理念思路清晰、重点突出，具有针对性和可操作性，包含但不限于招标文件要求内容计7-9分；设计理念结构完整，具有一定的针对性和可操作性，能基本满足招标文件要求计4-6分；设计理念结构不够完整，不具备针对性和可操作性计1—3分。无方案不得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云服务器</w:t>
            </w:r>
          </w:p>
        </w:tc>
        <w:tc>
          <w:tcPr>
            <w:tcW w:type="dxa" w:w="2492"/>
          </w:tcPr>
          <w:p>
            <w:pPr>
              <w:pStyle w:val="null3"/>
            </w:pPr>
            <w:r>
              <w:rPr/>
              <w:t>供应商提供拟投入本项目的云服务器，云服务器的配置性能优，能满足本次采购需求得7-9分；性能一般，基本满足本次采购需求得4-6分；性能差，不能满足本次采购需求得1-3分。无方案不得分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突发事件处理措施</w:t>
            </w:r>
          </w:p>
        </w:tc>
        <w:tc>
          <w:tcPr>
            <w:tcW w:type="dxa" w:w="2492"/>
          </w:tcPr>
          <w:p>
            <w:pPr>
              <w:pStyle w:val="null3"/>
            </w:pPr>
            <w:r>
              <w:rPr/>
              <w:t>供应商提供针对本项目的突发事件处理措施，在平台运行过程中可能遇到的突发事件及应对措施。措施全面合理，能满足本次采购需求得7-9分；措施一般，基本满足本次采购需求得4-6分；措施不合理，不能满足本次采购需求得1-3分。无方案不得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数据安全保障措施</w:t>
            </w:r>
          </w:p>
        </w:tc>
        <w:tc>
          <w:tcPr>
            <w:tcW w:type="dxa" w:w="2492"/>
          </w:tcPr>
          <w:p>
            <w:pPr>
              <w:pStyle w:val="null3"/>
            </w:pPr>
            <w:r>
              <w:rPr/>
              <w:t>供应商提供针对本项目数据安全保证措施，在平台运行的过程中能实时保证内部数据的安全性。措施全面合理，能满足本次采购需求得7-9分；措施一般，基本满足本次采购需求得4-6分；措施不合理，不能满足本次采购需求得1-3分。无方案不得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进度计划</w:t>
            </w:r>
          </w:p>
        </w:tc>
        <w:tc>
          <w:tcPr>
            <w:tcW w:type="dxa" w:w="2492"/>
          </w:tcPr>
          <w:p>
            <w:pPr>
              <w:pStyle w:val="null3"/>
            </w:pPr>
            <w:r>
              <w:rPr/>
              <w:t>供应商提供针对本项目的进度计划，平台建设各时间节点清晰，保证项目能够正常交付。进度计划合理、明确，能满足本次采购需求得7-9分；进度计划一般，基本满足本次采购需求得4-6分；进度计划不合理，不能满足本次采购需求得1-3分。无方案不得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培训计划</w:t>
            </w:r>
          </w:p>
        </w:tc>
        <w:tc>
          <w:tcPr>
            <w:tcW w:type="dxa" w:w="2492"/>
          </w:tcPr>
          <w:p>
            <w:pPr>
              <w:pStyle w:val="null3"/>
            </w:pPr>
            <w:r>
              <w:rPr/>
              <w:t>供应商提供针对本项目的培训计划，提供培训方案及培训计划并列出具体的培训内容及方式，确保用户能够独立熟练操作维护和正常使用。培训方案全面合理，能满足本次采购需求得5-6分；培训方案一般，基本满足本次采购需求得3-4分；培训方案不合理，不能满足本次采购需求得1-2分。无方案不得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近年(2021年1月1日至今，以签订合同时间为准)具有类似项目业绩的，每提供1个业绩得1分，最高得3分，提供合同协议书。</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满足磋商文件要求且磋商价格最低的磋商报价为磋商基准价，其价格分为满分。其他磋商供应商的价格 分统一按照下列公式计算：磋商报价得分=（磋商基准价/最后磋商报价）×价格权值×100</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详见附件：分项报价表</w:t>
      </w:r>
    </w:p>
    <w:p>
      <w:pPr>
        <w:pStyle w:val="null3"/>
        <w:ind w:firstLine="960"/>
      </w:pPr>
      <w:r>
        <w:rPr/>
        <w:t>详见附件：法定代表人身份证明</w:t>
      </w:r>
    </w:p>
    <w:p>
      <w:pPr>
        <w:pStyle w:val="null3"/>
        <w:ind w:firstLine="960"/>
      </w:pPr>
      <w:r>
        <w:rPr/>
        <w:t>详见附件：法人授权委托书</w:t>
      </w:r>
    </w:p>
    <w:p>
      <w:pPr>
        <w:pStyle w:val="null3"/>
      </w:pPr>
      <w:r>
        <w:rPr/>
        <w:t xml:space="preserve"> </w:t>
      </w:r>
    </w:p>
    <w:p>
      <w:pPr>
        <w:pStyle w:val="null3"/>
        <w:jc w:val="center"/>
        <w:outlineLvl w:val="1"/>
      </w:pPr>
      <w:r>
        <w:rPr>
          <w:b/>
          <w:sz w:val="36"/>
        </w:rPr>
        <w:t>第八章 拟签订采购合同文本</w:t>
      </w:r>
    </w:p>
    <w:p>
      <w:pPr>
        <w:pStyle w:val="null3"/>
      </w:pPr>
      <w:r>
        <w:rPr/>
        <w:t>详见附件：服务合同.docx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