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（工程类）</w:t>
      </w:r>
      <w:r>
        <w:br/>
      </w:r>
      <w:r>
        <w:br/>
      </w:r>
      <w:r>
        <w:br/>
      </w:r>
      <w:r>
        <w:br/>
      </w:r>
      <w:r>
        <w:br/>
      </w:r>
      <w:r>
        <w:br/>
      </w:r>
      <w:r>
        <w:br/>
      </w:r>
      <w:r>
        <w:br/>
      </w:r>
      <w:r>
        <w:br/>
      </w:r>
      <w:r>
        <w:br/>
      </w:r>
      <w:r>
        <w:br/>
      </w:r>
    </w:p>
    <w:p>
      <w:pPr>
        <w:pStyle w:val="null3"/>
        <w:jc w:val="center"/>
        <w:outlineLvl w:val="2"/>
      </w:pPr>
      <w:r>
        <w:rPr>
          <w:b/>
          <w:sz w:val="28"/>
        </w:rPr>
        <w:t>采购项目名称：</w:t>
      </w:r>
      <w:r>
        <w:rPr>
          <w:b/>
          <w:sz w:val="28"/>
        </w:rPr>
        <w:t>聚宝村屯南、魏家组（原万仙村）广场项目</w:t>
      </w:r>
    </w:p>
    <w:p>
      <w:pPr>
        <w:pStyle w:val="null3"/>
        <w:jc w:val="center"/>
        <w:outlineLvl w:val="2"/>
      </w:pPr>
      <w:r>
        <w:rPr>
          <w:b/>
          <w:sz w:val="28"/>
        </w:rPr>
        <w:t>采购项目编号：</w:t>
      </w:r>
      <w:r>
        <w:rPr>
          <w:b/>
          <w:sz w:val="28"/>
        </w:rPr>
        <w:t>ZDYT-ZB-2024（33）</w:t>
      </w:r>
      <w:r>
        <w:br/>
      </w:r>
      <w:r>
        <w:br/>
      </w:r>
      <w:r>
        <w:br/>
      </w:r>
    </w:p>
    <w:p>
      <w:pPr>
        <w:pStyle w:val="null3"/>
        <w:jc w:val="center"/>
        <w:outlineLvl w:val="2"/>
      </w:pPr>
      <w:r>
        <w:rPr>
          <w:b/>
          <w:sz w:val="28"/>
        </w:rPr>
        <w:t>西安市阎良区振兴街道办事处</w:t>
      </w:r>
    </w:p>
    <w:p>
      <w:pPr>
        <w:pStyle w:val="null3"/>
        <w:jc w:val="center"/>
        <w:outlineLvl w:val="2"/>
      </w:pPr>
      <w:r>
        <w:rPr>
          <w:b/>
          <w:sz w:val="28"/>
        </w:rPr>
        <w:t>陕西中鼎裕泰工程咨询有限公司</w:t>
      </w:r>
      <w:r>
        <w:rPr>
          <w:b/>
          <w:sz w:val="28"/>
        </w:rPr>
        <w:t>共同编制</w:t>
      </w:r>
    </w:p>
    <w:p>
      <w:pPr>
        <w:pStyle w:val="null3"/>
        <w:jc w:val="center"/>
        <w:outlineLvl w:val="2"/>
      </w:pPr>
      <w:r>
        <w:rPr>
          <w:b/>
          <w:sz w:val="28"/>
        </w:rPr>
        <w:t>2024年04月30日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陕西中鼎裕泰工程咨询有限公司</w:t>
      </w:r>
      <w:r>
        <w:rPr/>
        <w:t>（以下简称“代理机构”）受</w:t>
      </w:r>
      <w:r>
        <w:rPr/>
        <w:t>西安市阎良区振兴街道办事处</w:t>
      </w:r>
      <w:r>
        <w:rPr/>
        <w:t>委托，拟对</w:t>
      </w:r>
      <w:r>
        <w:rPr/>
        <w:t>聚宝村屯南、魏家组（原万仙村）广场项目</w:t>
      </w:r>
      <w:r>
        <w:rPr/>
        <w:t>采用竞争性磋商采购方式进行采购，兹邀请供应商参加本项目的竞争性磋商。</w:t>
      </w:r>
    </w:p>
    <w:p>
      <w:pPr>
        <w:pStyle w:val="null3"/>
        <w:outlineLvl w:val="2"/>
      </w:pPr>
      <w:r>
        <w:rPr>
          <w:b/>
          <w:sz w:val="28"/>
        </w:rPr>
        <w:t>一、采购项目编号：</w:t>
      </w:r>
      <w:r>
        <w:rPr>
          <w:b/>
          <w:sz w:val="28"/>
        </w:rPr>
        <w:t>ZDYT-ZB-2024（33）</w:t>
      </w:r>
    </w:p>
    <w:p>
      <w:pPr>
        <w:pStyle w:val="null3"/>
        <w:outlineLvl w:val="2"/>
      </w:pPr>
      <w:r>
        <w:rPr>
          <w:b/>
          <w:sz w:val="28"/>
        </w:rPr>
        <w:t>二、采购项目名称：</w:t>
      </w:r>
      <w:r>
        <w:rPr>
          <w:b/>
          <w:sz w:val="28"/>
        </w:rPr>
        <w:t>聚宝村屯南、魏家组（原万仙村）广场项目</w:t>
      </w:r>
    </w:p>
    <w:p>
      <w:pPr>
        <w:pStyle w:val="null3"/>
        <w:outlineLvl w:val="2"/>
      </w:pPr>
      <w:r>
        <w:rPr>
          <w:b/>
          <w:sz w:val="28"/>
        </w:rPr>
        <w:t>三、磋商项目简介</w:t>
      </w:r>
    </w:p>
    <w:p>
      <w:pPr>
        <w:pStyle w:val="null3"/>
        <w:ind w:firstLine="480"/>
      </w:pPr>
      <w:r>
        <w:rPr/>
        <w:t>1、工程名称：聚宝村屯南、魏家组（原万仙村）广场项目； 2、工程地址：西安市阎良区振兴街道； 3、工程内容：透水砖地面256.3㎡、花岗岩汀步96.56㎡、透水混凝土停车场620.6㎡、花岗岩路牙2102.52m、绿化苗木种植约800㎡等；</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采购包1（聚宝村屯南、魏家组（原万仙村）广场项目）：属于专门面向中小企业采购。</w:t>
      </w:r>
    </w:p>
    <w:p>
      <w:pPr>
        <w:pStyle w:val="null3"/>
        <w:ind w:firstLine="480"/>
      </w:pPr>
      <w:r>
        <w:rPr/>
        <w:t>（三）本项目的特定资格要求：</w:t>
      </w:r>
    </w:p>
    <w:p>
      <w:pPr>
        <w:pStyle w:val="null3"/>
      </w:pPr>
      <w:r>
        <w:rPr/>
        <w:t>采购包1：</w:t>
      </w:r>
    </w:p>
    <w:p>
      <w:pPr>
        <w:pStyle w:val="null3"/>
      </w:pPr>
      <w:r>
        <w:rPr/>
        <w:t>1、营业执照：供应商须具有独立承担民事责任能力的法人、其他组织或自然人，提供营业执照/事业单位法人证书/非企业专业服务机构执业许可证/自然人身份证。</w:t>
      </w:r>
    </w:p>
    <w:p>
      <w:pPr>
        <w:pStyle w:val="null3"/>
      </w:pPr>
      <w:r>
        <w:rPr/>
        <w:t>2、供应商应授权合法的人员参加磋商全过程：其中法定代表人直接参加磋商的，须出具法人身份证复印件，并与营业执照上信息一致。法定代表人授权代表参加磋商的，须出具法定代表人授权书。</w:t>
      </w:r>
    </w:p>
    <w:p>
      <w:pPr>
        <w:pStyle w:val="null3"/>
      </w:pPr>
      <w:r>
        <w:rPr/>
        <w:t>3、供应商健全的财务证明资料：①可提供2022或2023年度经审计的财务报告（包含审计报告和审计报告中所涉及的财务报表和报表附注），②可提供2022或2023年度供应商完整的全套财务报表（应当包括资产负债表、利润表、现金流量表、所有者权益变动表、附注），③可提供截至响应文件提交截止日一年内银行出具的资信证明，④供应商注册时间截至响应文件提交截止日不足一年的，也可提供在工商管理部门备案的公司章程。</w:t>
      </w:r>
    </w:p>
    <w:p>
      <w:pPr>
        <w:pStyle w:val="null3"/>
      </w:pPr>
      <w:r>
        <w:rPr/>
        <w:t>4、依法缴纳税收的良好记录：提供截止至开标时间前12个月内任一月份的缴费凭据,依法免税的单位应提供相关证明材料。</w:t>
      </w:r>
    </w:p>
    <w:p>
      <w:pPr>
        <w:pStyle w:val="null3"/>
      </w:pPr>
      <w:r>
        <w:rPr/>
        <w:t>5、依法缴纳社会保障资金的良好记录：提供截止至开标时间前12个月内任一月份的缴费凭据或社保机构开具的社会保险参保缴费情况证明，依法不需要缴纳社会保障资金的单位应提供相关证明材料。</w:t>
      </w:r>
    </w:p>
    <w:p>
      <w:pPr>
        <w:pStyle w:val="null3"/>
      </w:pPr>
      <w:r>
        <w:rPr/>
        <w:t>6、供应商资质要求：供应商须具有建设行政主管部门颁发的市政公用工程施工总承包三级及以上资质，在有效期内，并具备有效的安全生产许可证。</w:t>
      </w:r>
    </w:p>
    <w:p>
      <w:pPr>
        <w:pStyle w:val="null3"/>
      </w:pPr>
      <w:r>
        <w:rPr/>
        <w:t>7、拟派本工程项目经理资质要求：拟派项目经理具有市政公用工程二级及以上注册建造师证，具备有效的安全生产考核合格证书(B证)，且无不良信用记录，无在建工程，(附项目负责人相关证书及未在建承诺书)。</w:t>
      </w:r>
    </w:p>
    <w:p>
      <w:pPr>
        <w:pStyle w:val="null3"/>
      </w:pPr>
      <w:r>
        <w:rPr/>
        <w:t>8、参加政府采购活动前3年内在经营活动中没有重大违法记录：提供参加政府采购活动前3年内在经营活动中没有重大违法记录的书面声明。</w:t>
      </w:r>
    </w:p>
    <w:p>
      <w:pPr>
        <w:pStyle w:val="null3"/>
      </w:pPr>
      <w:r>
        <w:rPr/>
        <w:t>9、信用查询：供应商不得为“信用中国”网站（www.creditchina.gov.cn ）中列入失信被执行人和重大税收违法失信主体的供应商，不得为中国政府采购网（www.ccgp.gov.cn ）政府采购严重违法失信行为记录名单中被财政部门禁止参加政府采购活动的供应商。</w:t>
      </w:r>
    </w:p>
    <w:p>
      <w:pPr>
        <w:pStyle w:val="null3"/>
      </w:pPr>
      <w:r>
        <w:rPr/>
        <w:t>10、本项目不接受联合体磋商，单位负责人为同一人或者存在控股、管理关系的不同单位不得同时参加磋商：本项目不接受联合体磋商，单位负责人为同一人或者存在控股、管理关系的不同单位不得同时参加磋商（提供承诺或相关说明并加盖公章）。</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西安市阎良区振兴街道办事处</w:t>
      </w:r>
    </w:p>
    <w:p>
      <w:pPr>
        <w:pStyle w:val="null3"/>
      </w:pPr>
      <w:r>
        <w:rPr/>
        <w:t xml:space="preserve"> 地址： </w:t>
      </w:r>
      <w:r>
        <w:rPr/>
        <w:t>西安市阎良区振兴路一号</w:t>
      </w:r>
    </w:p>
    <w:p>
      <w:pPr>
        <w:pStyle w:val="null3"/>
      </w:pPr>
      <w:r>
        <w:rPr/>
        <w:t xml:space="preserve"> 邮编： </w:t>
      </w:r>
      <w:r>
        <w:rPr/>
        <w:t>710089</w:t>
      </w:r>
    </w:p>
    <w:p>
      <w:pPr>
        <w:pStyle w:val="null3"/>
      </w:pPr>
      <w:r>
        <w:rPr/>
        <w:t xml:space="preserve"> 联系人： </w:t>
      </w:r>
      <w:r>
        <w:rPr/>
        <w:t>西安市阎良区振兴街道办事处经办</w:t>
      </w:r>
    </w:p>
    <w:p>
      <w:pPr>
        <w:pStyle w:val="null3"/>
      </w:pPr>
      <w:r>
        <w:rPr/>
        <w:t xml:space="preserve"> 联系电话： </w:t>
      </w:r>
      <w:r>
        <w:rPr/>
        <w:t>13709194095</w:t>
      </w:r>
    </w:p>
    <w:p>
      <w:pPr>
        <w:pStyle w:val="null3"/>
        <w:outlineLvl w:val="3"/>
      </w:pPr>
      <w:r>
        <w:rPr>
          <w:b/>
          <w:sz w:val="24"/>
        </w:rPr>
        <w:t>代理机构：</w:t>
      </w:r>
      <w:r>
        <w:rPr>
          <w:b/>
          <w:sz w:val="24"/>
        </w:rPr>
        <w:t>陕西中鼎裕泰工程咨询有限公司</w:t>
      </w:r>
    </w:p>
    <w:p>
      <w:pPr>
        <w:pStyle w:val="null3"/>
      </w:pPr>
      <w:r>
        <w:rPr/>
        <w:t xml:space="preserve"> 地址： </w:t>
      </w:r>
      <w:r>
        <w:rPr/>
        <w:t>西安市国际港务区港兴三路与欧亚大道交汇处招商局丝路中心B座5楼522室</w:t>
      </w:r>
    </w:p>
    <w:p>
      <w:pPr>
        <w:pStyle w:val="null3"/>
      </w:pPr>
      <w:r>
        <w:rPr/>
        <w:t xml:space="preserve"> 邮编： </w:t>
      </w:r>
      <w:r>
        <w:rPr/>
        <w:t>710000</w:t>
      </w:r>
    </w:p>
    <w:p>
      <w:pPr>
        <w:pStyle w:val="null3"/>
      </w:pPr>
      <w:r>
        <w:rPr/>
        <w:t xml:space="preserve"> 联系人： </w:t>
      </w:r>
      <w:r>
        <w:rPr/>
        <w:t>周哲</w:t>
      </w:r>
    </w:p>
    <w:p>
      <w:pPr>
        <w:pStyle w:val="null3"/>
      </w:pPr>
      <w:r>
        <w:rPr/>
        <w:t xml:space="preserve"> 联系电话： </w:t>
      </w:r>
      <w:r>
        <w:rPr/>
        <w:t>17729292780</w:t>
      </w:r>
    </w:p>
    <w:p>
      <w:pPr>
        <w:pStyle w:val="null3"/>
        <w:outlineLvl w:val="3"/>
      </w:pPr>
      <w:r>
        <w:rPr>
          <w:b/>
          <w:sz w:val="24"/>
        </w:rPr>
        <w:t>采购监督机构：</w:t>
      </w:r>
      <w:r>
        <w:rPr>
          <w:b/>
          <w:sz w:val="24"/>
        </w:rPr>
        <w:t>西安市阎良区政府采购管理股</w:t>
      </w:r>
    </w:p>
    <w:p>
      <w:pPr>
        <w:pStyle w:val="null3"/>
        <w:ind w:firstLine="480"/>
      </w:pPr>
      <w:r>
        <w:rPr/>
        <w:t>联系人：</w:t>
      </w:r>
      <w:r>
        <w:rPr/>
        <w:t>刘媛媛</w:t>
      </w:r>
    </w:p>
    <w:p>
      <w:pPr>
        <w:pStyle w:val="null3"/>
        <w:ind w:firstLine="480"/>
      </w:pPr>
      <w:r>
        <w:rPr/>
        <w:t>联系电话：</w:t>
      </w:r>
      <w:r>
        <w:rPr/>
        <w:t>86204415</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采购包1：1,248,204.35元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按照国家计委计价格[2002]1980号《招标代理服务收费管理暂行办法》规定标准计取；造价咨询服务费按陕西省物价局陕西省住房和城乡建设厅文件《关于我省工程造价咨询服务收费标准有关问题的通知》（陕价行发〔2014〕88号）规定的基准价计取。</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西安市阎良区振兴街道办事处</w:t>
      </w:r>
      <w:r>
        <w:rPr/>
        <w:t>和</w:t>
      </w:r>
      <w:r>
        <w:rPr/>
        <w:t>陕西中鼎裕泰工程咨询有限公司</w:t>
      </w:r>
      <w:r>
        <w:rPr/>
        <w:t>享有。对磋商文件中供应商参加本次政府采购活动应当具备的条件，磋商项目技术、服务、商务及其他要求，评审细则及标准由</w:t>
      </w:r>
      <w:r>
        <w:rPr/>
        <w:t>西安市阎良区振兴街道办事处</w:t>
      </w:r>
      <w:r>
        <w:rPr/>
        <w:t>负责解释。除上述磋商文件内容，其他内容由</w:t>
      </w:r>
      <w:r>
        <w:rPr/>
        <w:t>陕西中鼎裕泰工程咨询有限公司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西安市阎良区振兴街道办事处</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陕西中鼎裕泰工程咨询有限公司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2.6.7履约验收方案</w:t>
      </w:r>
    </w:p>
    <w:p>
      <w:pPr>
        <w:pStyle w:val="null3"/>
      </w:pPr>
      <w:r>
        <w:rPr/>
        <w:t>采购包1：</w:t>
      </w:r>
    </w:p>
    <w:p>
      <w:pPr>
        <w:pStyle w:val="null3"/>
      </w:pPr>
      <w:r>
        <w:rPr/>
        <w:t>本工程按照国家及西安市现行施工规程、规范和标准，符合《建筑工程施工质量统一验收标准》(GB50300-2013)等现行相关标准合格等级。确保整体工程各专业工程和分部工程均达到合格标准。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b/>
          <w:sz w:val="24"/>
        </w:rPr>
        <w:t>2.6.8资金支付</w:t>
      </w:r>
    </w:p>
    <w:p>
      <w:pPr>
        <w:pStyle w:val="null3"/>
        <w:ind w:firstLine="480"/>
      </w:pPr>
      <w:r>
        <w:rPr/>
        <w:t>采购人将按照政府采购合同规定，及时向成交供应商支付采购资金。</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陕西中鼎裕泰工程咨询有限公司</w:t>
      </w:r>
      <w:r>
        <w:rPr/>
        <w:t xml:space="preserve"> 负责答复；供应商对采购过程的询问、质疑由</w:t>
      </w:r>
      <w:r>
        <w:rPr/>
        <w:t>陕西中鼎裕泰工程咨询有限公司</w:t>
      </w:r>
      <w:r>
        <w:rPr/>
        <w:t xml:space="preserve"> 负责答复；供应商对采购结果的询问、质疑由 </w:t>
      </w:r>
      <w:r>
        <w:rPr/>
        <w:t>陕西中鼎裕泰工程咨询有限公司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联系人：周哲</w:t>
      </w:r>
    </w:p>
    <w:p>
      <w:pPr>
        <w:pStyle w:val="null3"/>
      </w:pPr>
      <w:r>
        <w:rPr/>
        <w:t>联系电话：029-86863659</w:t>
      </w:r>
    </w:p>
    <w:p>
      <w:pPr>
        <w:pStyle w:val="null3"/>
      </w:pPr>
      <w:r>
        <w:rPr/>
        <w:t>地址：西安市国际港务区港兴三路与欧亚大道交汇处招商局丝路中心B座5楼522室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3.1技术、服务标准和要求</w:t>
      </w:r>
    </w:p>
    <w:p>
      <w:pPr>
        <w:pStyle w:val="null3"/>
      </w:pPr>
      <w:r>
        <w:rPr/>
        <w:t>采购包1：</w:t>
      </w:r>
    </w:p>
    <w:p>
      <w:pPr>
        <w:pStyle w:val="null3"/>
      </w:pPr>
      <w:r>
        <w:rPr/>
        <w:t>采购包预算金额（元）: 1,248,204.35</w:t>
      </w:r>
    </w:p>
    <w:p>
      <w:pPr>
        <w:pStyle w:val="null3"/>
      </w:pPr>
      <w:r>
        <w:rPr/>
        <w:t>采购包最高限价（元）: 1,248,204.35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聚宝村屯南、魏家组（原万仙村）广场项目</w:t>
            </w:r>
          </w:p>
        </w:tc>
        <w:tc>
          <w:tcPr>
            <w:tcW w:type="dxa" w:w="1384"/>
          </w:tcPr>
          <w:p>
            <w:pPr>
              <w:pStyle w:val="null3"/>
              <w:jc w:val="right"/>
            </w:pPr>
            <w:r>
              <w:rPr/>
              <w:t>1.00</w:t>
            </w:r>
          </w:p>
        </w:tc>
        <w:tc>
          <w:tcPr>
            <w:tcW w:type="dxa" w:w="1384"/>
          </w:tcPr>
          <w:p>
            <w:pPr>
              <w:pStyle w:val="null3"/>
              <w:jc w:val="right"/>
            </w:pPr>
            <w:r>
              <w:rPr/>
              <w:t>1,248,204.35</w:t>
            </w:r>
          </w:p>
        </w:tc>
        <w:tc>
          <w:tcPr>
            <w:tcW w:type="dxa" w:w="1384"/>
          </w:tcPr>
          <w:p>
            <w:pPr>
              <w:pStyle w:val="null3"/>
            </w:pPr>
            <w:r>
              <w:rPr/>
              <w:t>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标的名称：聚宝村屯南、魏家组（原万仙村）广场项目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left="555"/>
              <w:jc w:val="left"/>
            </w:pPr>
            <w:r>
              <w:rPr>
                <w:rFonts w:ascii="宋体" w:hAnsi="宋体" w:cs="宋体" w:eastAsia="宋体"/>
                <w:b/>
                <w:sz w:val="28"/>
              </w:rPr>
              <w:t>一、项目概况</w:t>
            </w:r>
            <w:r>
              <w:rPr>
                <w:rFonts w:ascii="宋体" w:hAnsi="宋体" w:cs="宋体" w:eastAsia="宋体"/>
                <w:b/>
                <w:sz w:val="28"/>
              </w:rPr>
              <w:t>：</w:t>
            </w:r>
          </w:p>
          <w:p>
            <w:pPr>
              <w:pStyle w:val="null3"/>
              <w:ind w:firstLine="560"/>
              <w:jc w:val="both"/>
            </w:pPr>
            <w:r>
              <w:rPr>
                <w:rFonts w:ascii="宋体" w:hAnsi="宋体" w:cs="宋体" w:eastAsia="宋体"/>
                <w:sz w:val="28"/>
              </w:rPr>
              <w:t>1、工程名称：聚宝村屯南、魏家组（原万仙村）广场项目；</w:t>
            </w:r>
          </w:p>
          <w:p>
            <w:pPr>
              <w:pStyle w:val="null3"/>
              <w:ind w:firstLine="560"/>
              <w:jc w:val="both"/>
            </w:pPr>
            <w:r>
              <w:rPr>
                <w:rFonts w:ascii="宋体" w:hAnsi="宋体" w:cs="宋体" w:eastAsia="宋体"/>
                <w:sz w:val="28"/>
              </w:rPr>
              <w:t>2、</w:t>
            </w:r>
            <w:r>
              <w:rPr>
                <w:rFonts w:ascii="宋体" w:hAnsi="宋体" w:cs="宋体" w:eastAsia="宋体"/>
                <w:sz w:val="28"/>
              </w:rPr>
              <w:t>工程地址：</w:t>
            </w:r>
            <w:r>
              <w:rPr>
                <w:rFonts w:ascii="宋体" w:hAnsi="宋体" w:cs="宋体" w:eastAsia="宋体"/>
                <w:sz w:val="28"/>
              </w:rPr>
              <w:t>西安市阎良区</w:t>
            </w:r>
            <w:r>
              <w:rPr>
                <w:rFonts w:ascii="宋体" w:hAnsi="宋体" w:cs="宋体" w:eastAsia="宋体"/>
                <w:sz w:val="28"/>
              </w:rPr>
              <w:t>振兴街道</w:t>
            </w:r>
            <w:r>
              <w:rPr>
                <w:rFonts w:ascii="宋体" w:hAnsi="宋体" w:cs="宋体" w:eastAsia="宋体"/>
                <w:sz w:val="28"/>
              </w:rPr>
              <w:t>；</w:t>
            </w:r>
          </w:p>
          <w:p>
            <w:pPr>
              <w:pStyle w:val="null3"/>
              <w:ind w:firstLine="560"/>
              <w:jc w:val="both"/>
            </w:pPr>
            <w:r>
              <w:rPr>
                <w:rFonts w:ascii="宋体" w:hAnsi="宋体" w:cs="宋体" w:eastAsia="宋体"/>
                <w:sz w:val="28"/>
              </w:rPr>
              <w:t>3</w:t>
            </w:r>
            <w:r>
              <w:rPr>
                <w:rFonts w:ascii="宋体" w:hAnsi="宋体" w:cs="宋体" w:eastAsia="宋体"/>
                <w:sz w:val="28"/>
              </w:rPr>
              <w:t>、</w:t>
            </w:r>
            <w:r>
              <w:rPr>
                <w:rFonts w:ascii="宋体" w:hAnsi="宋体" w:cs="宋体" w:eastAsia="宋体"/>
                <w:sz w:val="28"/>
              </w:rPr>
              <w:t>工程</w:t>
            </w:r>
            <w:r>
              <w:rPr>
                <w:rFonts w:ascii="宋体" w:hAnsi="宋体" w:cs="宋体" w:eastAsia="宋体"/>
                <w:sz w:val="28"/>
              </w:rPr>
              <w:t>内容</w:t>
            </w:r>
            <w:r>
              <w:rPr>
                <w:rFonts w:ascii="宋体" w:hAnsi="宋体" w:cs="宋体" w:eastAsia="宋体"/>
                <w:sz w:val="28"/>
              </w:rPr>
              <w:t>：</w:t>
            </w:r>
            <w:r>
              <w:rPr>
                <w:rFonts w:ascii="宋体" w:hAnsi="宋体" w:cs="宋体" w:eastAsia="宋体"/>
                <w:sz w:val="28"/>
              </w:rPr>
              <w:t>透水砖地面</w:t>
            </w:r>
            <w:r>
              <w:rPr>
                <w:rFonts w:ascii="宋体" w:hAnsi="宋体" w:cs="宋体" w:eastAsia="宋体"/>
                <w:sz w:val="28"/>
              </w:rPr>
              <w:t>256.3㎡、花岗岩汀步96.56㎡、透水混凝土停车</w:t>
            </w:r>
            <w:r>
              <w:rPr>
                <w:rFonts w:ascii="宋体" w:hAnsi="宋体" w:cs="宋体" w:eastAsia="宋体"/>
                <w:sz w:val="28"/>
              </w:rPr>
              <w:t>场</w:t>
            </w:r>
            <w:r>
              <w:rPr>
                <w:rFonts w:ascii="宋体" w:hAnsi="宋体" w:cs="宋体" w:eastAsia="宋体"/>
                <w:sz w:val="28"/>
              </w:rPr>
              <w:t>620.6㎡、花岗岩路牙2102.52m、绿化苗木种植约800㎡等</w:t>
            </w:r>
            <w:r>
              <w:rPr>
                <w:rFonts w:ascii="宋体" w:hAnsi="宋体" w:cs="宋体" w:eastAsia="宋体"/>
                <w:sz w:val="28"/>
              </w:rPr>
              <w:t>；</w:t>
            </w:r>
          </w:p>
          <w:p>
            <w:pPr>
              <w:pStyle w:val="null3"/>
              <w:ind w:left="555"/>
              <w:jc w:val="left"/>
            </w:pPr>
            <w:r>
              <w:rPr>
                <w:rFonts w:ascii="宋体" w:hAnsi="宋体" w:cs="宋体" w:eastAsia="宋体"/>
                <w:b/>
                <w:sz w:val="28"/>
              </w:rPr>
              <w:t>二、编制依据</w:t>
            </w:r>
          </w:p>
          <w:p>
            <w:pPr>
              <w:pStyle w:val="null3"/>
              <w:ind w:firstLine="560"/>
              <w:jc w:val="both"/>
            </w:pPr>
            <w:r>
              <w:rPr>
                <w:rFonts w:ascii="宋体" w:hAnsi="宋体" w:cs="宋体" w:eastAsia="宋体"/>
                <w:sz w:val="28"/>
              </w:rPr>
              <w:t>1、</w:t>
            </w:r>
            <w:r>
              <w:rPr>
                <w:rFonts w:ascii="宋体" w:hAnsi="宋体" w:cs="宋体" w:eastAsia="宋体"/>
                <w:sz w:val="28"/>
              </w:rPr>
              <w:t>《建设工程工程量清单计价规范》（</w:t>
            </w:r>
            <w:r>
              <w:rPr>
                <w:rFonts w:ascii="宋体" w:hAnsi="宋体" w:cs="宋体" w:eastAsia="宋体"/>
                <w:sz w:val="28"/>
              </w:rPr>
              <w:t>GB50500-2008）、《陕西省建设工程工程量清单计价规则》（2009）；</w:t>
            </w:r>
          </w:p>
          <w:p>
            <w:pPr>
              <w:pStyle w:val="null3"/>
              <w:ind w:firstLine="560"/>
              <w:jc w:val="both"/>
            </w:pPr>
            <w:r>
              <w:rPr>
                <w:rFonts w:ascii="宋体" w:hAnsi="宋体" w:cs="宋体" w:eastAsia="宋体"/>
                <w:sz w:val="28"/>
              </w:rPr>
              <w:t>2</w:t>
            </w:r>
            <w:r>
              <w:rPr>
                <w:rFonts w:ascii="宋体" w:hAnsi="宋体" w:cs="宋体" w:eastAsia="宋体"/>
                <w:sz w:val="28"/>
              </w:rPr>
              <w:t>、《陕西省建筑、装饰工程消耗量定额》</w:t>
            </w:r>
            <w:r>
              <w:rPr>
                <w:rFonts w:ascii="宋体" w:hAnsi="宋体" w:cs="宋体" w:eastAsia="宋体"/>
                <w:sz w:val="28"/>
              </w:rPr>
              <w:t>2004、《陕西省市政</w:t>
            </w:r>
            <w:r>
              <w:rPr>
                <w:rFonts w:ascii="宋体" w:hAnsi="宋体" w:cs="宋体" w:eastAsia="宋体"/>
                <w:sz w:val="28"/>
              </w:rPr>
              <w:t>、</w:t>
            </w:r>
            <w:r>
              <w:rPr>
                <w:rFonts w:ascii="宋体" w:hAnsi="宋体" w:cs="宋体" w:eastAsia="宋体"/>
                <w:sz w:val="28"/>
              </w:rPr>
              <w:t>景观绿化工程消耗量定额》</w:t>
            </w:r>
            <w:r>
              <w:rPr>
                <w:rFonts w:ascii="宋体" w:hAnsi="宋体" w:cs="宋体" w:eastAsia="宋体"/>
                <w:sz w:val="28"/>
              </w:rPr>
              <w:t>2004、《陕西省安装工程消耗量定额》2004及《陕西省建设工程消耗量定额勘误及补充定额》2009；</w:t>
            </w:r>
          </w:p>
          <w:p>
            <w:pPr>
              <w:pStyle w:val="null3"/>
              <w:ind w:firstLine="560"/>
              <w:jc w:val="both"/>
            </w:pPr>
            <w:r>
              <w:rPr>
                <w:rFonts w:ascii="宋体" w:hAnsi="宋体" w:cs="宋体" w:eastAsia="宋体"/>
                <w:sz w:val="28"/>
              </w:rPr>
              <w:t>3</w:t>
            </w:r>
            <w:r>
              <w:rPr>
                <w:rFonts w:ascii="宋体" w:hAnsi="宋体" w:cs="宋体" w:eastAsia="宋体"/>
                <w:sz w:val="28"/>
              </w:rPr>
              <w:t>、《陕西省建筑、装饰工程价目表》</w:t>
            </w:r>
            <w:r>
              <w:rPr>
                <w:rFonts w:ascii="宋体" w:hAnsi="宋体" w:cs="宋体" w:eastAsia="宋体"/>
                <w:sz w:val="28"/>
              </w:rPr>
              <w:t>2009、《陕西省安装工程价目表》2009、《陕西省建设工程施工机械台班价目表》2009；</w:t>
            </w:r>
          </w:p>
          <w:p>
            <w:pPr>
              <w:pStyle w:val="null3"/>
              <w:ind w:firstLine="560"/>
              <w:jc w:val="both"/>
            </w:pPr>
            <w:r>
              <w:rPr>
                <w:rFonts w:ascii="宋体" w:hAnsi="宋体" w:cs="宋体" w:eastAsia="宋体"/>
                <w:sz w:val="28"/>
              </w:rPr>
              <w:t>4</w:t>
            </w:r>
            <w:r>
              <w:rPr>
                <w:rFonts w:ascii="宋体" w:hAnsi="宋体" w:cs="宋体" w:eastAsia="宋体"/>
                <w:sz w:val="28"/>
              </w:rPr>
              <w:t>、</w:t>
            </w:r>
            <w:r>
              <w:rPr>
                <w:rFonts w:ascii="宋体" w:hAnsi="宋体" w:cs="宋体" w:eastAsia="宋体"/>
                <w:sz w:val="28"/>
              </w:rPr>
              <w:t>陕建发</w:t>
            </w:r>
            <w:r>
              <w:rPr>
                <w:rFonts w:ascii="宋体" w:hAnsi="宋体" w:cs="宋体" w:eastAsia="宋体"/>
                <w:sz w:val="28"/>
              </w:rPr>
              <w:t>[2017]270号文《关于增加建设工程扬尘治理专项措施费及综合人工单价调整的通知》；</w:t>
            </w:r>
          </w:p>
          <w:p>
            <w:pPr>
              <w:pStyle w:val="null3"/>
              <w:ind w:firstLine="560"/>
              <w:jc w:val="both"/>
            </w:pPr>
            <w:r>
              <w:rPr>
                <w:rFonts w:ascii="宋体" w:hAnsi="宋体" w:cs="宋体" w:eastAsia="宋体"/>
                <w:sz w:val="28"/>
              </w:rPr>
              <w:t>5</w:t>
            </w:r>
            <w:r>
              <w:rPr>
                <w:rFonts w:ascii="宋体" w:hAnsi="宋体" w:cs="宋体" w:eastAsia="宋体"/>
                <w:sz w:val="28"/>
              </w:rPr>
              <w:t>、陕建发</w:t>
            </w:r>
            <w:r>
              <w:rPr>
                <w:rFonts w:ascii="宋体" w:hAnsi="宋体" w:cs="宋体" w:eastAsia="宋体"/>
                <w:sz w:val="28"/>
              </w:rPr>
              <w:t>[2019]45号文《关于重新调整建设工程计价依据增值税税率的通知》；</w:t>
            </w:r>
          </w:p>
          <w:p>
            <w:pPr>
              <w:pStyle w:val="null3"/>
              <w:ind w:firstLine="560"/>
              <w:jc w:val="both"/>
            </w:pPr>
            <w:r>
              <w:rPr>
                <w:rFonts w:ascii="宋体" w:hAnsi="宋体" w:cs="宋体" w:eastAsia="宋体"/>
                <w:sz w:val="28"/>
              </w:rPr>
              <w:t>6</w:t>
            </w:r>
            <w:r>
              <w:rPr>
                <w:rFonts w:ascii="宋体" w:hAnsi="宋体" w:cs="宋体" w:eastAsia="宋体"/>
                <w:sz w:val="28"/>
              </w:rPr>
              <w:t>、陕建发</w:t>
            </w:r>
            <w:r>
              <w:rPr>
                <w:rFonts w:ascii="宋体" w:hAnsi="宋体" w:cs="宋体" w:eastAsia="宋体"/>
                <w:sz w:val="28"/>
              </w:rPr>
              <w:t>[2019]1246号文《关于发布我省落实建筑工人实名制管理计价依据的通知》；</w:t>
            </w:r>
          </w:p>
          <w:p>
            <w:pPr>
              <w:pStyle w:val="null3"/>
              <w:ind w:firstLine="560"/>
              <w:jc w:val="both"/>
            </w:pPr>
            <w:r>
              <w:rPr>
                <w:rFonts w:ascii="宋体" w:hAnsi="宋体" w:cs="宋体" w:eastAsia="宋体"/>
                <w:sz w:val="28"/>
              </w:rPr>
              <w:t>7</w:t>
            </w:r>
            <w:r>
              <w:rPr>
                <w:rFonts w:ascii="宋体" w:hAnsi="宋体" w:cs="宋体" w:eastAsia="宋体"/>
                <w:sz w:val="28"/>
              </w:rPr>
              <w:t>、陕建发</w:t>
            </w:r>
            <w:r>
              <w:rPr>
                <w:rFonts w:ascii="宋体" w:hAnsi="宋体" w:cs="宋体" w:eastAsia="宋体"/>
                <w:sz w:val="28"/>
              </w:rPr>
              <w:t>[2021]1097号《关于调整房屋建筑和市政基础设施工程工程量清单计价综合人工单价的通知》；</w:t>
            </w:r>
          </w:p>
          <w:p>
            <w:pPr>
              <w:pStyle w:val="null3"/>
              <w:ind w:firstLine="560"/>
              <w:jc w:val="both"/>
            </w:pPr>
            <w:r>
              <w:rPr>
                <w:rFonts w:ascii="宋体" w:hAnsi="宋体" w:cs="宋体" w:eastAsia="宋体"/>
                <w:sz w:val="28"/>
              </w:rPr>
              <w:t>8</w:t>
            </w:r>
            <w:r>
              <w:rPr>
                <w:rFonts w:ascii="宋体" w:hAnsi="宋体" w:cs="宋体" w:eastAsia="宋体"/>
                <w:sz w:val="28"/>
              </w:rPr>
              <w:t>、陕建发</w:t>
            </w:r>
            <w:r>
              <w:rPr>
                <w:rFonts w:ascii="宋体" w:hAnsi="宋体" w:cs="宋体" w:eastAsia="宋体"/>
                <w:sz w:val="28"/>
              </w:rPr>
              <w:t>[</w:t>
            </w:r>
            <w:r>
              <w:rPr>
                <w:rFonts w:ascii="宋体" w:hAnsi="宋体" w:cs="宋体" w:eastAsia="宋体"/>
                <w:sz w:val="28"/>
              </w:rPr>
              <w:t>2021</w:t>
            </w:r>
            <w:r>
              <w:rPr>
                <w:rFonts w:ascii="宋体" w:hAnsi="宋体" w:cs="宋体" w:eastAsia="宋体"/>
                <w:sz w:val="28"/>
              </w:rPr>
              <w:t>]</w:t>
            </w:r>
            <w:r>
              <w:rPr>
                <w:rFonts w:ascii="宋体" w:hAnsi="宋体" w:cs="宋体" w:eastAsia="宋体"/>
                <w:sz w:val="28"/>
              </w:rPr>
              <w:t>1021号文《关于全省统一停止收缴建筑业劳保费用的通知》</w:t>
            </w:r>
          </w:p>
          <w:p>
            <w:pPr>
              <w:pStyle w:val="null3"/>
              <w:ind w:firstLine="560"/>
              <w:jc w:val="both"/>
            </w:pPr>
            <w:r>
              <w:rPr>
                <w:rFonts w:ascii="宋体" w:hAnsi="宋体" w:cs="宋体" w:eastAsia="宋体"/>
                <w:sz w:val="28"/>
              </w:rPr>
              <w:t>9</w:t>
            </w:r>
            <w:r>
              <w:rPr>
                <w:rFonts w:ascii="宋体" w:hAnsi="宋体" w:cs="宋体" w:eastAsia="宋体"/>
                <w:sz w:val="28"/>
              </w:rPr>
              <w:t>、施工现场情况、工程特点、现行国家和陕西省建筑施工规范；</w:t>
            </w:r>
          </w:p>
          <w:p>
            <w:pPr>
              <w:pStyle w:val="null3"/>
              <w:ind w:firstLine="560"/>
              <w:jc w:val="both"/>
            </w:pPr>
            <w:r>
              <w:rPr>
                <w:rFonts w:ascii="宋体" w:hAnsi="宋体" w:cs="宋体" w:eastAsia="宋体"/>
                <w:sz w:val="28"/>
              </w:rPr>
              <w:t>1</w:t>
            </w:r>
            <w:r>
              <w:rPr>
                <w:rFonts w:ascii="宋体" w:hAnsi="宋体" w:cs="宋体" w:eastAsia="宋体"/>
                <w:sz w:val="28"/>
              </w:rPr>
              <w:t>0</w:t>
            </w:r>
            <w:r>
              <w:rPr>
                <w:rFonts w:ascii="宋体" w:hAnsi="宋体" w:cs="宋体" w:eastAsia="宋体"/>
                <w:sz w:val="28"/>
              </w:rPr>
              <w:t>、</w:t>
            </w:r>
            <w:r>
              <w:rPr>
                <w:rFonts w:ascii="宋体" w:hAnsi="宋体" w:cs="宋体" w:eastAsia="宋体"/>
                <w:sz w:val="28"/>
              </w:rPr>
              <w:t>阎良区财政投资评审地材单价表及材料市场询价、参考《西安造价信息》</w:t>
            </w:r>
            <w:r>
              <w:rPr>
                <w:rFonts w:ascii="宋体" w:hAnsi="宋体" w:cs="宋体" w:eastAsia="宋体"/>
                <w:sz w:val="28"/>
              </w:rPr>
              <w:t>2023年10月-阎良区；</w:t>
            </w:r>
          </w:p>
          <w:p>
            <w:pPr>
              <w:pStyle w:val="null3"/>
              <w:ind w:firstLine="560"/>
              <w:jc w:val="both"/>
            </w:pPr>
            <w:r>
              <w:rPr>
                <w:rFonts w:ascii="宋体" w:hAnsi="宋体" w:cs="宋体" w:eastAsia="宋体"/>
                <w:sz w:val="28"/>
              </w:rPr>
              <w:t>1</w:t>
            </w:r>
            <w:r>
              <w:rPr>
                <w:rFonts w:ascii="宋体" w:hAnsi="宋体" w:cs="宋体" w:eastAsia="宋体"/>
                <w:sz w:val="28"/>
              </w:rPr>
              <w:t>1</w:t>
            </w:r>
            <w:r>
              <w:rPr>
                <w:rFonts w:ascii="宋体" w:hAnsi="宋体" w:cs="宋体" w:eastAsia="宋体"/>
                <w:sz w:val="28"/>
              </w:rPr>
              <w:t>、采用广联达云计价平</w:t>
            </w:r>
            <w:r>
              <w:rPr>
                <w:rFonts w:ascii="宋体" w:hAnsi="宋体" w:cs="宋体" w:eastAsia="宋体"/>
                <w:sz w:val="28"/>
              </w:rPr>
              <w:t>台</w:t>
            </w:r>
            <w:r>
              <w:rPr>
                <w:rFonts w:ascii="宋体" w:hAnsi="宋体" w:cs="宋体" w:eastAsia="宋体"/>
                <w:sz w:val="28"/>
              </w:rPr>
              <w:t>GCCP6.0（6.</w:t>
            </w:r>
            <w:r>
              <w:rPr>
                <w:rFonts w:ascii="宋体" w:hAnsi="宋体" w:cs="宋体" w:eastAsia="宋体"/>
                <w:sz w:val="28"/>
              </w:rPr>
              <w:t>41</w:t>
            </w:r>
            <w:r>
              <w:rPr>
                <w:rFonts w:ascii="宋体" w:hAnsi="宋体" w:cs="宋体" w:eastAsia="宋体"/>
                <w:sz w:val="28"/>
              </w:rPr>
              <w:t>00.23.</w:t>
            </w:r>
            <w:r>
              <w:rPr>
                <w:rFonts w:ascii="宋体" w:hAnsi="宋体" w:cs="宋体" w:eastAsia="宋体"/>
                <w:sz w:val="28"/>
              </w:rPr>
              <w:t>120</w:t>
            </w:r>
            <w:r>
              <w:rPr>
                <w:rFonts w:ascii="宋体" w:hAnsi="宋体" w:cs="宋体" w:eastAsia="宋体"/>
                <w:sz w:val="28"/>
              </w:rPr>
              <w:t>）</w:t>
            </w:r>
            <w:r>
              <w:rPr>
                <w:rFonts w:ascii="宋体" w:hAnsi="宋体" w:cs="宋体" w:eastAsia="宋体"/>
                <w:sz w:val="28"/>
              </w:rPr>
              <w:t>编制。</w:t>
            </w:r>
          </w:p>
          <w:p>
            <w:pPr>
              <w:pStyle w:val="null3"/>
              <w:ind w:left="555"/>
              <w:jc w:val="left"/>
            </w:pPr>
            <w:r>
              <w:rPr>
                <w:rFonts w:ascii="宋体" w:hAnsi="宋体" w:cs="宋体" w:eastAsia="宋体"/>
                <w:b/>
                <w:sz w:val="28"/>
              </w:rPr>
              <w:t>三、其它说明</w:t>
            </w:r>
          </w:p>
          <w:p>
            <w:pPr>
              <w:pStyle w:val="null3"/>
              <w:jc w:val="both"/>
            </w:pPr>
            <w:r>
              <w:rPr>
                <w:rFonts w:ascii="宋体" w:hAnsi="宋体" w:cs="宋体" w:eastAsia="宋体"/>
                <w:sz w:val="28"/>
              </w:rPr>
              <w:t>1、本工程招标代理服务费13093.00元、招标最高限价编制费6200.00元在景观工程其他项目费中计入。</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本工程按照国家及西安市现行施工规程、规范和标准，确保整体工程各专业工程和分部工程均达到合格标准。</w:t>
      </w:r>
    </w:p>
    <w:p>
      <w:pPr>
        <w:pStyle w:val="null3"/>
        <w:ind w:firstLine="480"/>
      </w:pPr>
      <w:r>
        <w:rPr/>
        <w:t>三、针对本项目的其他技术服务要求：</w:t>
      </w:r>
    </w:p>
    <w:p>
      <w:pPr>
        <w:pStyle w:val="null3"/>
      </w:pPr>
      <w:r>
        <w:rPr/>
        <w:t>/</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b/>
          <w:sz w:val="28"/>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b/>
          <w:sz w:val="24"/>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b/>
          <w:sz w:val="28"/>
        </w:rPr>
        <w:t>3.3其他要求</w:t>
      </w:r>
    </w:p>
    <w:p>
      <w:pPr>
        <w:pStyle w:val="null3"/>
      </w:pPr>
      <w:r>
        <w:rPr/>
        <w:t>磋商实行两轮报价。第一轮报价后，磋商小组可以根据项目实施情况调整采购需求，第二轮报价为最终报价。如采购需求没有实质性变化，各供应商的报价应逐次降低，本次报价超过上次报价的，为无效报价。</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①可提供2022或2023年度经审计的财务报告（包含审计报告和审计报告中所涉及的财务报表和报表附注），②可提供2022或2023年度供应商完整的全套财务报表（应当包括资产负债表、利润表、现金流量表、所有者权益变动表、附注），③可提供截至响应文件提交截止日一年内银行出具的资信证明，④供应商注册时间截至响应文件提交截止日不足一年的，也可提供在工商管理部门备案的公司章程。</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供应商须具有独立承担民事责任能力的法人、其他组织或自然人，提供营业执照/事业单位法人证书/非企业专业服务机构执业许可证/自然人身份证。</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供应商应授权合法的人员参加磋商全过程</w:t>
            </w:r>
          </w:p>
        </w:tc>
        <w:tc>
          <w:tcPr>
            <w:tcW w:type="dxa" w:w="3322"/>
          </w:tcPr>
          <w:p>
            <w:pPr>
              <w:pStyle w:val="null3"/>
            </w:pPr>
            <w:r>
              <w:rPr/>
              <w:t>其中法定代表人直接参加磋商的，须出具法人身份证复印件，并与营业执照上信息一致。法定代表人授权代表参加磋商的，须出具法定代表人授权书。</w:t>
            </w:r>
          </w:p>
        </w:tc>
        <w:tc>
          <w:tcPr>
            <w:tcW w:type="dxa" w:w="1661"/>
          </w:tcPr>
          <w:p>
            <w:pPr>
              <w:pStyle w:val="null3"/>
            </w:pPr>
            <w:r>
              <w:rPr/>
              <w:t>法人授权委托书 法定代表人身份证明 供应商应提交的相关资格证明材料</w:t>
            </w:r>
          </w:p>
        </w:tc>
      </w:tr>
      <w:tr>
        <w:tc>
          <w:tcPr>
            <w:tcW w:type="dxa" w:w="831"/>
          </w:tcPr>
          <w:p>
            <w:pPr>
              <w:pStyle w:val="null3"/>
            </w:pPr>
            <w:r>
              <w:rPr/>
              <w:t>3</w:t>
            </w:r>
          </w:p>
        </w:tc>
        <w:tc>
          <w:tcPr>
            <w:tcW w:type="dxa" w:w="2492"/>
          </w:tcPr>
          <w:p>
            <w:pPr>
              <w:pStyle w:val="null3"/>
            </w:pPr>
            <w:r>
              <w:rPr/>
              <w:t>供应商健全的财务证明资料</w:t>
            </w:r>
          </w:p>
        </w:tc>
        <w:tc>
          <w:tcPr>
            <w:tcW w:type="dxa" w:w="3322"/>
          </w:tcPr>
          <w:p>
            <w:pPr>
              <w:pStyle w:val="null3"/>
            </w:pPr>
            <w:r>
              <w:rPr/>
              <w:t>①可提供2022或2023年度经审计的财务报告（包含审计报告和审计报告中所涉及的财务报表和报表附注），②可提供2022或2023年度供应商完整的全套财务报表（应当包括资产负债表、利润表、现金流量表、所有者权益变动表、附注），③可提供截至响应文件提交截止日一年内银行出具的资信证明，④供应商注册时间截至响应文件提交截止日不足一年的，也可提供在工商管理部门备案的公司章程。</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依法缴纳税收的良好记录</w:t>
            </w:r>
          </w:p>
        </w:tc>
        <w:tc>
          <w:tcPr>
            <w:tcW w:type="dxa" w:w="3322"/>
          </w:tcPr>
          <w:p>
            <w:pPr>
              <w:pStyle w:val="null3"/>
            </w:pPr>
            <w:r>
              <w:rPr/>
              <w:t>提供截止至开标时间前12个月内任一月份的缴费凭据,依法免税的单位应提供相关证明材料。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依法缴纳社会保障资金的良好记录</w:t>
            </w:r>
          </w:p>
        </w:tc>
        <w:tc>
          <w:tcPr>
            <w:tcW w:type="dxa" w:w="3322"/>
          </w:tcPr>
          <w:p>
            <w:pPr>
              <w:pStyle w:val="null3"/>
            </w:pPr>
            <w:r>
              <w:rPr/>
              <w:t>提供截止至开标时间前12个月内任一月份的缴费凭据或社保机构开具的社会保险参保缴费情况证明，依法不需要缴纳社会保障资金的单位应提供相关证明材料。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供应商资质要求</w:t>
            </w:r>
          </w:p>
        </w:tc>
        <w:tc>
          <w:tcPr>
            <w:tcW w:type="dxa" w:w="3322"/>
          </w:tcPr>
          <w:p>
            <w:pPr>
              <w:pStyle w:val="null3"/>
            </w:pPr>
            <w:r>
              <w:rPr/>
              <w:t>供应商须具有建设行政主管部门颁发的市政公用工程施工总承包三级及以上资质，在有效期内，并具备有效的安全生产许可证。</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拟派本工程项目经理资质要求</w:t>
            </w:r>
          </w:p>
        </w:tc>
        <w:tc>
          <w:tcPr>
            <w:tcW w:type="dxa" w:w="3322"/>
          </w:tcPr>
          <w:p>
            <w:pPr>
              <w:pStyle w:val="null3"/>
            </w:pPr>
            <w:r>
              <w:rPr/>
              <w:t>拟派项目经理具有市政公用工程二级及以上注册建造师证，具备有效的安全生产考核合格证书(B证)，且无不良信用记录，无在建工程，(附项目负责人相关证书及未在建承诺书)。</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参加政府采购活动前3年内在经营活动中没有重大违法记录</w:t>
            </w:r>
          </w:p>
        </w:tc>
        <w:tc>
          <w:tcPr>
            <w:tcW w:type="dxa" w:w="3322"/>
          </w:tcPr>
          <w:p>
            <w:pPr>
              <w:pStyle w:val="null3"/>
            </w:pPr>
            <w:r>
              <w:rPr/>
              <w:t>提供参加政府采购活动前3年内在经营活动中没有重大违法记录的书面声明。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信用查询</w:t>
            </w:r>
          </w:p>
        </w:tc>
        <w:tc>
          <w:tcPr>
            <w:tcW w:type="dxa" w:w="3322"/>
          </w:tcPr>
          <w:p>
            <w:pPr>
              <w:pStyle w:val="null3"/>
            </w:pPr>
            <w:r>
              <w:rPr/>
              <w:t>供应商不得为“信用中国”网站（www.creditchina.gov.cn ）中列入失信被执行人和重大税收违法失信主体的供应商，不得为中国政府采购网（www.ccgp.gov.cn ）政府采购严重违法失信行为记录名单中被财政部门禁止参加政府采购活动的供应商。</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本项目不接受联合体磋商，单位负责人为同一人或者存在控股、管理关系的不同单位不得同时参加磋商</w:t>
            </w:r>
          </w:p>
        </w:tc>
        <w:tc>
          <w:tcPr>
            <w:tcW w:type="dxa" w:w="3322"/>
          </w:tcPr>
          <w:p>
            <w:pPr>
              <w:pStyle w:val="null3"/>
            </w:pPr>
            <w:r>
              <w:rPr/>
              <w:t>本项目不接受联合体磋商，单位负责人为同一人或者存在控股、管理关系的不同单位不得同时参加磋商（提供承诺或相关说明并加盖公章）。</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形式评审标准</w:t>
            </w:r>
          </w:p>
        </w:tc>
        <w:tc>
          <w:tcPr>
            <w:tcW w:type="dxa" w:w="3322"/>
          </w:tcPr>
          <w:p>
            <w:pPr>
              <w:pStyle w:val="null3"/>
            </w:pPr>
            <w:r>
              <w:rPr/>
              <w:t>供应商名称：与营业执照一致； 响应函签字盖章：有法定代表人或其委托代理人签字或加盖单位章； 响应文件格式：符合第七章“响应文件格式”的要求</w:t>
            </w:r>
          </w:p>
        </w:tc>
        <w:tc>
          <w:tcPr>
            <w:tcW w:type="dxa" w:w="1661"/>
          </w:tcPr>
          <w:p>
            <w:pPr>
              <w:pStyle w:val="null3"/>
            </w:pPr>
            <w:r>
              <w:rPr/>
              <w:t>施工组织设计 已标价工程量清单 中小企业声明函 法定代表人身份证明 技术服务合同条款及其他商务要求应答表 供应商应提交的相关资格证明材料 强制优先采购产品承诺函 响应文件封面 项目管理机构组成表 法人授权委托书 残疾人福利性单位声明函 报价函 标的清单 供应商类似项目业绩一览表 响应函 监狱企业的证明文件</w:t>
            </w:r>
          </w:p>
        </w:tc>
      </w:tr>
      <w:tr>
        <w:tc>
          <w:tcPr>
            <w:tcW w:type="dxa" w:w="831"/>
          </w:tcPr>
          <w:p>
            <w:pPr>
              <w:pStyle w:val="null3"/>
            </w:pPr>
            <w:r>
              <w:rPr/>
              <w:t>3</w:t>
            </w:r>
          </w:p>
        </w:tc>
        <w:tc>
          <w:tcPr>
            <w:tcW w:type="dxa" w:w="2492"/>
          </w:tcPr>
          <w:p>
            <w:pPr>
              <w:pStyle w:val="null3"/>
            </w:pPr>
            <w:r>
              <w:rPr/>
              <w:t>响应性评审标准</w:t>
            </w:r>
          </w:p>
        </w:tc>
        <w:tc>
          <w:tcPr>
            <w:tcW w:type="dxa" w:w="3322"/>
          </w:tcPr>
          <w:p>
            <w:pPr>
              <w:pStyle w:val="null3"/>
            </w:pPr>
            <w:r>
              <w:rPr/>
              <w:t>工期：自进场之日起45个日历日内竣工； 工程质量：按国家及省市相关建设工程质量标准的规定，达到“合格”标准； 投标有效期：自提交响应文件的截止之日起90个日历日； 已标价工程量清单：符合“工程量清单”给出的子目名称、计量单位、工程量、子目备注说明； 投标价格：不得高于最高限价。</w:t>
            </w:r>
          </w:p>
        </w:tc>
        <w:tc>
          <w:tcPr>
            <w:tcW w:type="dxa" w:w="1661"/>
          </w:tcPr>
          <w:p>
            <w:pPr>
              <w:pStyle w:val="null3"/>
            </w:pPr>
            <w:r>
              <w:rPr/>
              <w:t>施工组织设计 已标价工程量清单 中小企业声明函 法定代表人身份证明 技术服务合同条款及其他商务要求应答表 供应商应提交的相关资格证明材料 强制优先采购产品承诺函 响应文件封面 项目管理机构组成表 法人授权委托书 残疾人福利性单位声明函 报价函 标的清单 供应商类似项目业绩一览表 响应函 监狱企业的证明文件</w:t>
            </w:r>
          </w:p>
        </w:tc>
      </w:tr>
    </w:tbl>
    <w:p>
      <w:pPr>
        <w:pStyle w:val="null3"/>
        <w:outlineLvl w:val="3"/>
      </w:pPr>
      <w:r>
        <w:rPr>
          <w:b/>
          <w:sz w:val="24"/>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b/>
          <w:sz w:val="24"/>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b/>
          <w:sz w:val="24"/>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b/>
          <w:sz w:val="24"/>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b/>
          <w:sz w:val="24"/>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b/>
          <w:sz w:val="28"/>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w:t>
            </w:r>
          </w:p>
        </w:tc>
        <w:tc>
          <w:tcPr>
            <w:tcW w:type="dxa" w:w="2492"/>
          </w:tcPr>
          <w:p>
            <w:pPr>
              <w:pStyle w:val="null3"/>
            </w:pPr>
            <w:r>
              <w:rPr/>
              <w:t>施工方案详细、全面、合理、针对性强，施工准备完整，工艺规范、各部分措施具体：方案可行性高，专业性强，充分满足采购需求计4.1-8分；方案内容一般、基本可行，计2.1-4分；方案内容较差计0.1-2分；未提供的不计分。</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施工组织设计</w:t>
            </w:r>
          </w:p>
        </w:tc>
      </w:tr>
      <w:tr>
        <w:tc>
          <w:tcPr>
            <w:tcW w:type="dxa" w:w="831"/>
            <w:vMerge/>
          </w:tcPr>
          <w:p/>
        </w:tc>
        <w:tc>
          <w:tcPr>
            <w:tcW w:type="dxa" w:w="1661"/>
          </w:tcPr>
          <w:p>
            <w:pPr>
              <w:pStyle w:val="null3"/>
            </w:pPr>
            <w:r>
              <w:rPr/>
              <w:t>项目经理和项目部组成</w:t>
            </w:r>
          </w:p>
        </w:tc>
        <w:tc>
          <w:tcPr>
            <w:tcW w:type="dxa" w:w="2492"/>
          </w:tcPr>
          <w:p>
            <w:pPr>
              <w:pStyle w:val="null3"/>
            </w:pPr>
            <w:r>
              <w:rPr/>
              <w:t>项目经理和项目部岗位、专业、分工组成科学、合理、完善、满足项目需求：项目经理和项目部组成配置合理、针对性强，与项目需求的吻合程度高计4.1-8分；项目经理和项目部组成综合实力与项目需求的吻合程度一般计 2.1-4分；项目经理和项目部组成较差计 0.1-2分；未提供的不计分。（附身份证等相关证件复印件并加盖供应商公章）。</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施工组织设计</w:t>
            </w:r>
          </w:p>
          <w:p>
            <w:pPr>
              <w:pStyle w:val="null3"/>
            </w:pPr>
            <w:r>
              <w:rPr/>
              <w:t>项目管理机构组成表</w:t>
            </w:r>
          </w:p>
        </w:tc>
      </w:tr>
      <w:tr>
        <w:tc>
          <w:tcPr>
            <w:tcW w:type="dxa" w:w="831"/>
            <w:vMerge/>
          </w:tcPr>
          <w:p/>
        </w:tc>
        <w:tc>
          <w:tcPr>
            <w:tcW w:type="dxa" w:w="1661"/>
          </w:tcPr>
          <w:p>
            <w:pPr>
              <w:pStyle w:val="null3"/>
            </w:pPr>
            <w:r>
              <w:rPr/>
              <w:t>确保工程质量技术组织措施</w:t>
            </w:r>
          </w:p>
        </w:tc>
        <w:tc>
          <w:tcPr>
            <w:tcW w:type="dxa" w:w="2492"/>
          </w:tcPr>
          <w:p>
            <w:pPr>
              <w:pStyle w:val="null3"/>
            </w:pPr>
            <w:r>
              <w:rPr/>
              <w:t>针对本项目质量技术组织措施方案，质量保证体系是否完备周全，保障措施及政策建议是否切合实际、协调配套、具有可操作性：目标明确且资料清单内容完整计4.1-8分；方案较完整，质量保证措施内容明确，可基本保证质量保证需求计2.1-4分；方案有明显缺漏项，不能完全保证服务期内质量保证需求，可操作性较差计0.1-2分；未提供的不计分。</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施工组织设计</w:t>
            </w:r>
          </w:p>
        </w:tc>
      </w:tr>
      <w:tr>
        <w:tc>
          <w:tcPr>
            <w:tcW w:type="dxa" w:w="831"/>
            <w:vMerge/>
          </w:tcPr>
          <w:p/>
        </w:tc>
        <w:tc>
          <w:tcPr>
            <w:tcW w:type="dxa" w:w="1661"/>
          </w:tcPr>
          <w:p>
            <w:pPr>
              <w:pStyle w:val="null3"/>
            </w:pPr>
            <w:r>
              <w:rPr/>
              <w:t>安全施工措施</w:t>
            </w:r>
          </w:p>
        </w:tc>
        <w:tc>
          <w:tcPr>
            <w:tcW w:type="dxa" w:w="2492"/>
          </w:tcPr>
          <w:p>
            <w:pPr>
              <w:pStyle w:val="null3"/>
            </w:pPr>
            <w:r>
              <w:rPr/>
              <w:t>供应商针对本项目编制完整的安全施工措施，安全生产管理制度完善、合理充分满足要求，能够加强安全生产教育：内容完整、合理、针对性强计3.1-5分；基本满足施工要求计 2.1-3分；方案较差计 0.1-2分，未提供不计分。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施工组织设计</w:t>
            </w:r>
          </w:p>
        </w:tc>
      </w:tr>
      <w:tr>
        <w:tc>
          <w:tcPr>
            <w:tcW w:type="dxa" w:w="831"/>
            <w:vMerge/>
          </w:tcPr>
          <w:p/>
        </w:tc>
        <w:tc>
          <w:tcPr>
            <w:tcW w:type="dxa" w:w="1661"/>
          </w:tcPr>
          <w:p>
            <w:pPr>
              <w:pStyle w:val="null3"/>
            </w:pPr>
            <w:r>
              <w:rPr/>
              <w:t>施工进度计划</w:t>
            </w:r>
          </w:p>
        </w:tc>
        <w:tc>
          <w:tcPr>
            <w:tcW w:type="dxa" w:w="2492"/>
          </w:tcPr>
          <w:p>
            <w:pPr>
              <w:pStyle w:val="null3"/>
            </w:pPr>
            <w:r>
              <w:rPr/>
              <w:t>根据供应商针对本项目提供的施工进度计划方案、项目进度安排进行综合评分，切合本项目实际情况，有详细的工作计划和进度安排，具有时效性：方案清晰、合理的方案计4.1-7分；方案能够紧贴项目实际情况，内容科学合理且内容可行性、合理性一般，内容较详尽，计2.1-4分；方案较差计，不贴合项目需求计0.1-2分，未提供不得分。</w:t>
            </w:r>
          </w:p>
        </w:tc>
        <w:tc>
          <w:tcPr>
            <w:tcW w:type="dxa" w:w="831"/>
          </w:tcPr>
          <w:p>
            <w:pPr>
              <w:pStyle w:val="null3"/>
              <w:jc w:val="right"/>
            </w:pPr>
            <w:r>
              <w:rPr/>
              <w:t>7.00</w:t>
            </w:r>
          </w:p>
        </w:tc>
        <w:tc>
          <w:tcPr>
            <w:tcW w:type="dxa" w:w="831"/>
          </w:tcPr>
          <w:p>
            <w:pPr>
              <w:pStyle w:val="null3"/>
            </w:pPr>
            <w:r>
              <w:rPr/>
              <w:t>客观</w:t>
            </w:r>
          </w:p>
        </w:tc>
        <w:tc>
          <w:tcPr>
            <w:tcW w:type="dxa" w:w="1661"/>
          </w:tcPr>
          <w:p>
            <w:pPr>
              <w:pStyle w:val="null3"/>
            </w:pPr>
            <w:r>
              <w:rPr/>
              <w:t>施工组织设计</w:t>
            </w:r>
          </w:p>
        </w:tc>
      </w:tr>
      <w:tr>
        <w:tc>
          <w:tcPr>
            <w:tcW w:type="dxa" w:w="831"/>
            <w:vMerge/>
          </w:tcPr>
          <w:p/>
        </w:tc>
        <w:tc>
          <w:tcPr>
            <w:tcW w:type="dxa" w:w="1661"/>
          </w:tcPr>
          <w:p>
            <w:pPr>
              <w:pStyle w:val="null3"/>
            </w:pPr>
            <w:r>
              <w:rPr/>
              <w:t>应急预案</w:t>
            </w:r>
          </w:p>
        </w:tc>
        <w:tc>
          <w:tcPr>
            <w:tcW w:type="dxa" w:w="2492"/>
          </w:tcPr>
          <w:p>
            <w:pPr>
              <w:pStyle w:val="null3"/>
            </w:pPr>
            <w:r>
              <w:rPr/>
              <w:t>针对突发事件的应急处理方案，提供相应的预案或保证措施：方案内容完整、合理、针对性强计 3.1-5分；基本满足施工要求计2.1-3 分；方案较差计0.1-2 分，未提供不计分。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施工组织设计</w:t>
            </w:r>
          </w:p>
        </w:tc>
      </w:tr>
      <w:tr>
        <w:tc>
          <w:tcPr>
            <w:tcW w:type="dxa" w:w="831"/>
            <w:vMerge/>
          </w:tcPr>
          <w:p/>
        </w:tc>
        <w:tc>
          <w:tcPr>
            <w:tcW w:type="dxa" w:w="1661"/>
          </w:tcPr>
          <w:p>
            <w:pPr>
              <w:pStyle w:val="null3"/>
            </w:pPr>
            <w:r>
              <w:rPr/>
              <w:t>文明施工措施</w:t>
            </w:r>
          </w:p>
        </w:tc>
        <w:tc>
          <w:tcPr>
            <w:tcW w:type="dxa" w:w="2492"/>
          </w:tcPr>
          <w:p>
            <w:pPr>
              <w:pStyle w:val="null3"/>
            </w:pPr>
            <w:r>
              <w:rPr/>
              <w:t>供应商针对本项目编制完整的文明施工措施：内容完整、合理、针对性强计3.1-5分；基本满足施工要求计1.1-3分；方案较差计0.1-1 分，未提供不计分。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施工组织设计</w:t>
            </w:r>
          </w:p>
        </w:tc>
      </w:tr>
      <w:tr>
        <w:tc>
          <w:tcPr>
            <w:tcW w:type="dxa" w:w="831"/>
            <w:vMerge/>
          </w:tcPr>
          <w:p/>
        </w:tc>
        <w:tc>
          <w:tcPr>
            <w:tcW w:type="dxa" w:w="1661"/>
          </w:tcPr>
          <w:p>
            <w:pPr>
              <w:pStyle w:val="null3"/>
            </w:pPr>
            <w:r>
              <w:rPr/>
              <w:t>环境保护措施</w:t>
            </w:r>
          </w:p>
        </w:tc>
        <w:tc>
          <w:tcPr>
            <w:tcW w:type="dxa" w:w="2492"/>
          </w:tcPr>
          <w:p>
            <w:pPr>
              <w:pStyle w:val="null3"/>
            </w:pPr>
            <w:r>
              <w:rPr/>
              <w:t>供应商针对本项目编制完整的环境保护措施：内容完整、合理、针对性强计3.1-5分；基本满足施工要求计1.1-3分；方案较差计0.1-1 分，未提供不计分。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施工组织设计</w:t>
            </w:r>
          </w:p>
        </w:tc>
      </w:tr>
      <w:tr>
        <w:tc>
          <w:tcPr>
            <w:tcW w:type="dxa" w:w="831"/>
            <w:vMerge/>
          </w:tcPr>
          <w:p/>
        </w:tc>
        <w:tc>
          <w:tcPr>
            <w:tcW w:type="dxa" w:w="1661"/>
          </w:tcPr>
          <w:p>
            <w:pPr>
              <w:pStyle w:val="null3"/>
            </w:pPr>
            <w:r>
              <w:rPr/>
              <w:t>新技术新产品新工艺 新材料应用</w:t>
            </w:r>
          </w:p>
        </w:tc>
        <w:tc>
          <w:tcPr>
            <w:tcW w:type="dxa" w:w="2492"/>
          </w:tcPr>
          <w:p>
            <w:pPr>
              <w:pStyle w:val="null3"/>
            </w:pPr>
            <w:r>
              <w:rPr/>
              <w:t>根据施工工艺技术、技术参数、工艺流程、施工方法详尽计2.1-4分；不详尽、较差计0.1-2分；未提供不计分。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施工组织设计</w:t>
            </w:r>
          </w:p>
        </w:tc>
      </w:tr>
      <w:tr>
        <w:tc>
          <w:tcPr>
            <w:tcW w:type="dxa" w:w="831"/>
            <w:vMerge/>
          </w:tcPr>
          <w:p/>
        </w:tc>
        <w:tc>
          <w:tcPr>
            <w:tcW w:type="dxa" w:w="1661"/>
          </w:tcPr>
          <w:p>
            <w:pPr>
              <w:pStyle w:val="null3"/>
            </w:pPr>
            <w:r>
              <w:rPr/>
              <w:t>施工机械配备和材料 投入计划</w:t>
            </w:r>
          </w:p>
        </w:tc>
        <w:tc>
          <w:tcPr>
            <w:tcW w:type="dxa" w:w="2492"/>
          </w:tcPr>
          <w:p>
            <w:pPr>
              <w:pStyle w:val="null3"/>
            </w:pPr>
            <w:r>
              <w:rPr/>
              <w:t>配备齐全、针对性强计 2.1-4分；配备较差计0.1-2分；未提供不计分。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施工组织设计</w:t>
            </w:r>
          </w:p>
        </w:tc>
      </w:tr>
      <w:tr>
        <w:tc>
          <w:tcPr>
            <w:tcW w:type="dxa" w:w="831"/>
            <w:vMerge/>
          </w:tcPr>
          <w:p/>
        </w:tc>
        <w:tc>
          <w:tcPr>
            <w:tcW w:type="dxa" w:w="1661"/>
          </w:tcPr>
          <w:p>
            <w:pPr>
              <w:pStyle w:val="null3"/>
            </w:pPr>
            <w:r>
              <w:rPr/>
              <w:t>保修承诺</w:t>
            </w:r>
          </w:p>
        </w:tc>
        <w:tc>
          <w:tcPr>
            <w:tcW w:type="dxa" w:w="2492"/>
          </w:tcPr>
          <w:p>
            <w:pPr>
              <w:pStyle w:val="null3"/>
            </w:pPr>
            <w:r>
              <w:rPr/>
              <w:t>结合本项目的实际，供应商应依据国家相关规定对工程质量编制保修方案：根据供应商提供保修承诺进行综合对比，内容完整、合理、针对性强计3.1-5分；基本满足施工要求计2.1-3分；方案较差计0.1-2分；未提供不计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施工组织设计</w:t>
            </w:r>
          </w:p>
        </w:tc>
      </w:tr>
      <w:tr>
        <w:tc>
          <w:tcPr>
            <w:tcW w:type="dxa" w:w="831"/>
            <w:vMerge/>
          </w:tcPr>
          <w:p/>
        </w:tc>
        <w:tc>
          <w:tcPr>
            <w:tcW w:type="dxa" w:w="1661"/>
          </w:tcPr>
          <w:p>
            <w:pPr>
              <w:pStyle w:val="null3"/>
            </w:pPr>
            <w:r>
              <w:rPr/>
              <w:t>业绩</w:t>
            </w:r>
          </w:p>
        </w:tc>
        <w:tc>
          <w:tcPr>
            <w:tcW w:type="dxa" w:w="2492"/>
          </w:tcPr>
          <w:p>
            <w:pPr>
              <w:pStyle w:val="null3"/>
            </w:pPr>
            <w:r>
              <w:rPr/>
              <w:t>具有2021年1月1日至今的类似项目业绩合同（以合同签订日期为准），每提供一份得2分，最高得6分。投标响应文件中附有说明其业绩证明材料（业绩以合同为依据）。</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磋商报价得分=(磋商基准价／磋商报价)×30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详见附件：法定代表人身份证明</w:t>
      </w:r>
    </w:p>
    <w:p>
      <w:pPr>
        <w:pStyle w:val="null3"/>
        <w:ind w:firstLine="960"/>
      </w:pPr>
      <w:r>
        <w:rPr/>
        <w:t>详见附件：法人授权委托书</w:t>
      </w:r>
    </w:p>
    <w:p>
      <w:pPr>
        <w:pStyle w:val="null3"/>
        <w:ind w:firstLine="960"/>
      </w:pPr>
      <w:r>
        <w:rPr/>
        <w:t>详见附件：施工组织设计</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详见附件：建设工程施工合同.docx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