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313EC">
      <w:pPr>
        <w:pBdr>
          <w:bottom w:val="single" w:color="auto" w:sz="4" w:space="1"/>
        </w:pBdr>
        <w:spacing w:before="312" w:beforeLines="100"/>
        <w:ind w:left="420" w:hanging="420"/>
        <w:jc w:val="center"/>
        <w:rPr>
          <w:rFonts w:hint="eastAsia" w:ascii="宋体" w:hAnsi="宋体" w:eastAsia="宋体" w:cs="宋体"/>
          <w:b/>
          <w:sz w:val="40"/>
          <w:szCs w:val="40"/>
          <w:lang w:val="en-US" w:eastAsia="zh-CN"/>
        </w:rPr>
      </w:pPr>
      <w:r>
        <w:rPr>
          <w:rFonts w:hint="eastAsia" w:ascii="宋体" w:hAnsi="宋体" w:eastAsia="宋体" w:cs="宋体"/>
          <w:b/>
          <w:sz w:val="40"/>
          <w:szCs w:val="40"/>
          <w:lang w:val="en-US" w:eastAsia="zh-CN"/>
        </w:rPr>
        <w:t>采购需求</w:t>
      </w:r>
    </w:p>
    <w:p w14:paraId="5FCBA177">
      <w:pPr>
        <w:pBdr>
          <w:bottom w:val="single" w:color="auto" w:sz="4" w:space="1"/>
        </w:pBdr>
        <w:spacing w:before="312" w:beforeLines="100"/>
        <w:ind w:left="420" w:hanging="420"/>
        <w:rPr>
          <w:rFonts w:hint="eastAsia" w:ascii="宋体" w:hAnsi="宋体" w:eastAsia="宋体" w:cs="宋体"/>
          <w:b/>
          <w:sz w:val="32"/>
          <w:szCs w:val="32"/>
        </w:rPr>
      </w:pPr>
      <w:r>
        <w:rPr>
          <w:rFonts w:hint="eastAsia" w:ascii="宋体" w:hAnsi="宋体" w:eastAsia="宋体" w:cs="宋体"/>
          <w:b/>
          <w:sz w:val="32"/>
          <w:szCs w:val="32"/>
        </w:rPr>
        <w:t>一、项目概况</w:t>
      </w:r>
    </w:p>
    <w:p w14:paraId="055BDF1B">
      <w:pPr>
        <w:ind w:firstLine="560" w:firstLineChars="200"/>
        <w:rPr>
          <w:rFonts w:hint="eastAsia" w:ascii="宋体" w:hAnsi="宋体" w:eastAsia="宋体" w:cs="宋体"/>
          <w:color w:val="auto"/>
          <w:sz w:val="28"/>
          <w:szCs w:val="32"/>
        </w:rPr>
      </w:pPr>
      <w:r>
        <w:rPr>
          <w:rFonts w:hint="eastAsia" w:ascii="宋体" w:hAnsi="宋体" w:eastAsia="宋体" w:cs="宋体"/>
          <w:color w:val="auto"/>
          <w:sz w:val="28"/>
          <w:szCs w:val="32"/>
        </w:rPr>
        <w:t>按照党中央、国务院关于农村乱占耕地建房问题整治工作的安排部署，以及国务院农村乱占耕地问题整治工作电视电话会议要求和部际协调机制办公室《关于印发农村乱占耕地建房问题摸排工作方案的通知》（协调机制办发〔2020〕1号）、《陕西省农村乱占耕地建房问题摸排工作实施方案》（陕耕房整治组发〔2020〕2号）、《西安市农村乱占耕地建房问题整治工作领导小组关于印发(西安市农村乱占耕地建房问题摸排工作实施方案的通知)》(市耕房整治组发(2020]2号)等相关文件要求，为全面查清我区农村乱占耕地建房的基本情况，建立全区农村乱占耕地建房问题工作台账，为分步整治、分类处置提供可靠的现实依据。</w:t>
      </w:r>
    </w:p>
    <w:p w14:paraId="7E9BB098">
      <w:pPr>
        <w:pBdr>
          <w:bottom w:val="single" w:color="auto" w:sz="4" w:space="1"/>
        </w:pBdr>
        <w:spacing w:before="312" w:beforeLines="100"/>
        <w:ind w:left="420" w:hanging="420"/>
        <w:rPr>
          <w:rFonts w:hint="eastAsia" w:ascii="宋体" w:hAnsi="宋体" w:eastAsia="宋体" w:cs="宋体"/>
          <w:b/>
          <w:color w:val="auto"/>
          <w:sz w:val="32"/>
          <w:szCs w:val="32"/>
        </w:rPr>
      </w:pPr>
      <w:r>
        <w:rPr>
          <w:rFonts w:hint="eastAsia" w:ascii="宋体" w:hAnsi="宋体" w:eastAsia="宋体" w:cs="宋体"/>
          <w:b/>
          <w:color w:val="auto"/>
          <w:sz w:val="32"/>
          <w:szCs w:val="32"/>
        </w:rPr>
        <w:t>二、服务内容</w:t>
      </w:r>
    </w:p>
    <w:p w14:paraId="0EC01C2C">
      <w:pPr>
        <w:pStyle w:val="37"/>
        <w:numPr>
          <w:ilvl w:val="0"/>
          <w:numId w:val="1"/>
        </w:numPr>
        <w:pBdr>
          <w:bottom w:val="single" w:color="auto" w:sz="4" w:space="1"/>
        </w:pBdr>
        <w:spacing w:before="312" w:beforeLines="100"/>
        <w:ind w:left="426" w:firstLineChars="0"/>
        <w:rPr>
          <w:rFonts w:hint="eastAsia" w:ascii="宋体" w:hAnsi="宋体" w:eastAsia="宋体" w:cs="宋体"/>
          <w:color w:val="auto"/>
          <w:sz w:val="28"/>
          <w:szCs w:val="28"/>
        </w:rPr>
      </w:pPr>
      <w:r>
        <w:rPr>
          <w:rFonts w:hint="eastAsia" w:ascii="宋体" w:hAnsi="宋体" w:eastAsia="宋体" w:cs="宋体"/>
          <w:color w:val="auto"/>
          <w:sz w:val="28"/>
          <w:szCs w:val="28"/>
        </w:rPr>
        <w:t>对原摸排成果进行核实，固化“三类”台账。本次补充摸排工作要在前期摸排工作的基础上，集中力量，按照《西安市农村乱占耕地建房问题整治工作领导小组关于印发(西安市农村乱占耕地建房问题摸排工作实施方案的通知)》(市耕房整治组发(2020]2号)摸排范围、政策要求及工作方法，对下发图斑进行全面核实确认，固化各辖区住宅类、公共管理与服务类和产业类等三类台账。</w:t>
      </w:r>
    </w:p>
    <w:p w14:paraId="07D02881">
      <w:pPr>
        <w:pStyle w:val="37"/>
        <w:numPr>
          <w:ilvl w:val="0"/>
          <w:numId w:val="1"/>
        </w:numPr>
        <w:pBdr>
          <w:bottom w:val="single" w:color="auto" w:sz="4" w:space="1"/>
        </w:pBdr>
        <w:spacing w:before="312" w:beforeLines="100"/>
        <w:ind w:left="426" w:firstLineChars="0"/>
        <w:rPr>
          <w:rFonts w:hint="eastAsia" w:ascii="宋体" w:hAnsi="宋体" w:eastAsia="宋体" w:cs="宋体"/>
          <w:color w:val="auto"/>
          <w:sz w:val="28"/>
          <w:szCs w:val="28"/>
        </w:rPr>
      </w:pPr>
      <w:r>
        <w:rPr>
          <w:rFonts w:hint="eastAsia" w:ascii="宋体" w:hAnsi="宋体" w:eastAsia="宋体" w:cs="宋体"/>
          <w:color w:val="auto"/>
          <w:sz w:val="28"/>
          <w:szCs w:val="28"/>
        </w:rPr>
        <w:t>对不纳入台账信息进一步完善举证资料。各区县、开发区专班需严格按照《关于规范全市农村乱占耕地建房摸排成果中“不纳入”图斑举证资料的通知》(市耕房整治办发〔2021〕1号)文件要求，对所有不纳入台账进行核实完善，确保不纳入数据举证全面、说服力强，举证资料真实、准确、有效，不发生漏报、瞒报等错误。</w:t>
      </w:r>
    </w:p>
    <w:p w14:paraId="3EC42965">
      <w:pPr>
        <w:pStyle w:val="37"/>
        <w:numPr>
          <w:numId w:val="0"/>
        </w:numPr>
        <w:pBdr>
          <w:bottom w:val="single" w:color="auto" w:sz="4" w:space="1"/>
        </w:pBdr>
        <w:spacing w:before="312" w:beforeLines="100"/>
        <w:ind w:left="66" w:leftChars="0"/>
        <w:rPr>
          <w:rFonts w:hint="eastAsia" w:ascii="宋体" w:hAnsi="宋体" w:eastAsia="宋体" w:cs="宋体"/>
          <w:b/>
          <w:color w:val="auto"/>
          <w:sz w:val="32"/>
          <w:szCs w:val="32"/>
        </w:rPr>
      </w:pPr>
      <w:r>
        <w:rPr>
          <w:rFonts w:hint="eastAsia" w:ascii="宋体" w:hAnsi="宋体" w:cs="宋体"/>
          <w:color w:val="auto"/>
          <w:sz w:val="28"/>
          <w:szCs w:val="28"/>
          <w:lang w:val="en-US" w:eastAsia="zh-CN"/>
        </w:rPr>
        <w:t>3、</w:t>
      </w:r>
      <w:bookmarkStart w:id="0" w:name="_GoBack"/>
      <w:bookmarkEnd w:id="0"/>
      <w:r>
        <w:rPr>
          <w:rFonts w:hint="eastAsia" w:ascii="宋体" w:hAnsi="宋体" w:eastAsia="宋体" w:cs="宋体"/>
          <w:color w:val="auto"/>
          <w:sz w:val="28"/>
          <w:szCs w:val="28"/>
        </w:rPr>
        <w:t>及时填报遏制新增乱占耕地建房问题。农村乱占耕地建房数据汇交平台将按月自动关联自然资源执法综合监管平台“卫片执法”模块和“违法行为处理”模块中“是否属于新增乱占耕地”填报为“是”的地块，作为月度处理新增问题台账。自9月起部里启用新的月报模板，月报模板涵盖了新增问题整改进展情况和遏制新增问题等相关工作台账，请各专班严格按照模板要求详实填报，于每月15日将月报月报电子版及PDF(盖章件)报至西安市乱占耕地专班邮箱(xalzgdzz@163.com)填报时注意遏制新增建房情况中的“本月处理违反八不准问题情况”必须与月度新增问题台账关联，典型案例下半年各单位必须填报5个以上。</w:t>
      </w:r>
    </w:p>
    <w:p w14:paraId="2E458B7A">
      <w:pPr>
        <w:pStyle w:val="37"/>
        <w:numPr>
          <w:numId w:val="0"/>
        </w:numPr>
        <w:pBdr>
          <w:bottom w:val="single" w:color="auto" w:sz="4" w:space="1"/>
        </w:pBdr>
        <w:spacing w:before="312" w:beforeLines="100"/>
        <w:ind w:left="66" w:leftChars="0"/>
        <w:rPr>
          <w:rFonts w:hint="eastAsia" w:ascii="宋体" w:hAnsi="宋体" w:eastAsia="宋体" w:cs="宋体"/>
          <w:b/>
          <w:color w:val="auto"/>
          <w:sz w:val="32"/>
          <w:szCs w:val="32"/>
        </w:rPr>
      </w:pPr>
      <w:r>
        <w:rPr>
          <w:rFonts w:hint="eastAsia" w:ascii="宋体" w:hAnsi="宋体" w:eastAsia="宋体" w:cs="宋体"/>
          <w:b/>
          <w:color w:val="auto"/>
          <w:sz w:val="32"/>
          <w:szCs w:val="32"/>
        </w:rPr>
        <w:t>三、技术要求</w:t>
      </w:r>
    </w:p>
    <w:p w14:paraId="162604E8">
      <w:pPr>
        <w:pBdr>
          <w:bottom w:val="single" w:color="auto" w:sz="4" w:space="5"/>
        </w:pBdr>
        <w:spacing w:before="312" w:beforeLines="100"/>
        <w:ind w:left="420" w:hanging="278"/>
        <w:rPr>
          <w:rFonts w:hint="eastAsia" w:ascii="宋体" w:hAnsi="宋体" w:eastAsia="宋体" w:cs="宋体"/>
          <w:color w:val="auto"/>
          <w:sz w:val="28"/>
          <w:szCs w:val="32"/>
        </w:rPr>
      </w:pPr>
      <w:r>
        <w:rPr>
          <w:rFonts w:hint="eastAsia" w:ascii="宋体" w:hAnsi="宋体" w:eastAsia="宋体" w:cs="宋体"/>
          <w:color w:val="auto"/>
          <w:sz w:val="28"/>
          <w:szCs w:val="32"/>
        </w:rPr>
        <w:t>1．自然资源部《农村乱占耕地建房问题摸排工作方案》;</w:t>
      </w:r>
    </w:p>
    <w:p w14:paraId="5C17FB65">
      <w:pPr>
        <w:pBdr>
          <w:bottom w:val="single" w:color="auto" w:sz="4" w:space="5"/>
        </w:pBdr>
        <w:spacing w:before="312" w:beforeLines="100"/>
        <w:ind w:left="420" w:hanging="278"/>
        <w:rPr>
          <w:rFonts w:hint="eastAsia" w:ascii="宋体" w:hAnsi="宋体" w:eastAsia="宋体" w:cs="宋体"/>
          <w:color w:val="auto"/>
          <w:sz w:val="28"/>
          <w:szCs w:val="32"/>
        </w:rPr>
      </w:pPr>
      <w:r>
        <w:rPr>
          <w:rFonts w:hint="eastAsia" w:ascii="宋体" w:hAnsi="宋体" w:eastAsia="宋体" w:cs="宋体"/>
          <w:color w:val="auto"/>
          <w:sz w:val="28"/>
          <w:szCs w:val="32"/>
        </w:rPr>
        <w:t>2.《陕西省农村乱占耕地建房问题整治工作专班办公室关于转发自然资源部办公厅关于开展非住宅类房屋信息补充摸排等工作的通知》(陕耕房整治班办发〔2022〕20号);</w:t>
      </w:r>
    </w:p>
    <w:p w14:paraId="2F488E39">
      <w:pPr>
        <w:pBdr>
          <w:bottom w:val="single" w:color="auto" w:sz="4" w:space="5"/>
        </w:pBdr>
        <w:spacing w:before="312" w:beforeLines="100"/>
        <w:ind w:left="420" w:hanging="278"/>
        <w:rPr>
          <w:rFonts w:hint="eastAsia" w:ascii="宋体" w:hAnsi="宋体" w:eastAsia="宋体" w:cs="宋体"/>
          <w:color w:val="auto"/>
          <w:sz w:val="28"/>
          <w:szCs w:val="32"/>
        </w:rPr>
      </w:pPr>
      <w:r>
        <w:rPr>
          <w:rFonts w:hint="eastAsia" w:ascii="宋体" w:hAnsi="宋体" w:eastAsia="宋体" w:cs="宋体"/>
          <w:color w:val="auto"/>
          <w:sz w:val="28"/>
          <w:szCs w:val="32"/>
        </w:rPr>
        <w:t>3. 陕西省《农村乱占耕地建房问题摸排工作实施方案》;</w:t>
      </w:r>
    </w:p>
    <w:p w14:paraId="494ED7A9">
      <w:pPr>
        <w:pBdr>
          <w:bottom w:val="single" w:color="auto" w:sz="4" w:space="5"/>
        </w:pBdr>
        <w:spacing w:before="312" w:beforeLines="100"/>
        <w:ind w:left="420" w:hanging="278"/>
        <w:rPr>
          <w:rFonts w:hint="eastAsia" w:ascii="宋体" w:hAnsi="宋体" w:eastAsia="宋体" w:cs="宋体"/>
          <w:color w:val="auto"/>
          <w:sz w:val="28"/>
          <w:szCs w:val="32"/>
        </w:rPr>
      </w:pPr>
      <w:r>
        <w:rPr>
          <w:rFonts w:hint="eastAsia" w:ascii="宋体" w:hAnsi="宋体" w:eastAsia="宋体" w:cs="宋体"/>
          <w:color w:val="auto"/>
          <w:sz w:val="28"/>
          <w:szCs w:val="32"/>
        </w:rPr>
        <w:t>4.《关于农村乱占耕地建房“八不准”的通知》(自然资发〔2020〕127号〕;</w:t>
      </w:r>
    </w:p>
    <w:p w14:paraId="7D28583B">
      <w:pPr>
        <w:pBdr>
          <w:bottom w:val="single" w:color="auto" w:sz="4" w:space="5"/>
        </w:pBdr>
        <w:spacing w:before="312" w:beforeLines="100"/>
        <w:ind w:left="420" w:hanging="278"/>
        <w:rPr>
          <w:rFonts w:hint="eastAsia" w:ascii="宋体" w:hAnsi="宋体" w:eastAsia="宋体" w:cs="宋体"/>
          <w:color w:val="auto"/>
          <w:sz w:val="28"/>
          <w:szCs w:val="32"/>
        </w:rPr>
      </w:pPr>
      <w:r>
        <w:rPr>
          <w:rFonts w:hint="eastAsia" w:ascii="宋体" w:hAnsi="宋体" w:eastAsia="宋体" w:cs="宋体"/>
          <w:color w:val="auto"/>
          <w:sz w:val="28"/>
          <w:szCs w:val="32"/>
        </w:rPr>
        <w:t>5.《第三次全国国土调查技术规程》;</w:t>
      </w:r>
    </w:p>
    <w:p w14:paraId="2860B1EE">
      <w:pPr>
        <w:pBdr>
          <w:bottom w:val="single" w:color="auto" w:sz="4" w:space="5"/>
        </w:pBdr>
        <w:spacing w:before="312" w:beforeLines="100"/>
        <w:ind w:left="420" w:hanging="278"/>
        <w:rPr>
          <w:rFonts w:hint="eastAsia" w:ascii="宋体" w:hAnsi="宋体" w:eastAsia="宋体" w:cs="宋体"/>
          <w:color w:val="auto"/>
          <w:sz w:val="28"/>
          <w:szCs w:val="32"/>
        </w:rPr>
      </w:pPr>
      <w:r>
        <w:rPr>
          <w:rFonts w:hint="eastAsia" w:ascii="宋体" w:hAnsi="宋体" w:eastAsia="宋体" w:cs="宋体"/>
          <w:color w:val="auto"/>
          <w:sz w:val="28"/>
          <w:szCs w:val="32"/>
        </w:rPr>
        <w:t>6.《第三次全国国土调查工作分类》;</w:t>
      </w:r>
    </w:p>
    <w:p w14:paraId="1C078577">
      <w:pPr>
        <w:pBdr>
          <w:bottom w:val="single" w:color="auto" w:sz="4" w:space="5"/>
        </w:pBdr>
        <w:spacing w:before="312" w:beforeLines="100"/>
        <w:ind w:left="420" w:hanging="278"/>
        <w:rPr>
          <w:rFonts w:hint="eastAsia" w:ascii="宋体" w:hAnsi="宋体" w:eastAsia="宋体" w:cs="宋体"/>
          <w:color w:val="auto"/>
          <w:sz w:val="28"/>
          <w:szCs w:val="32"/>
        </w:rPr>
      </w:pPr>
      <w:r>
        <w:rPr>
          <w:rFonts w:hint="eastAsia" w:ascii="宋体" w:hAnsi="宋体" w:eastAsia="宋体" w:cs="宋体"/>
          <w:color w:val="auto"/>
          <w:sz w:val="28"/>
          <w:szCs w:val="32"/>
        </w:rPr>
        <w:t>7.《第三次全国国土调查县级数据库建设技术规范》;</w:t>
      </w:r>
    </w:p>
    <w:p w14:paraId="06F9F0F4">
      <w:pPr>
        <w:pBdr>
          <w:bottom w:val="single" w:color="auto" w:sz="4" w:space="5"/>
        </w:pBdr>
        <w:spacing w:before="312" w:beforeLines="100"/>
        <w:ind w:left="420" w:hanging="278"/>
        <w:rPr>
          <w:rFonts w:hint="eastAsia" w:ascii="宋体" w:hAnsi="宋体" w:eastAsia="宋体" w:cs="宋体"/>
          <w:color w:val="auto"/>
          <w:sz w:val="28"/>
          <w:szCs w:val="32"/>
        </w:rPr>
      </w:pPr>
      <w:r>
        <w:rPr>
          <w:rFonts w:hint="eastAsia" w:ascii="宋体" w:hAnsi="宋体" w:eastAsia="宋体" w:cs="宋体"/>
          <w:color w:val="auto"/>
          <w:sz w:val="28"/>
          <w:szCs w:val="32"/>
        </w:rPr>
        <w:t>8.《地籍调查规程》 (TD/T1001-2012)；</w:t>
      </w:r>
    </w:p>
    <w:p w14:paraId="1EC40527">
      <w:pPr>
        <w:pBdr>
          <w:bottom w:val="single" w:color="auto" w:sz="4" w:space="5"/>
        </w:pBdr>
        <w:spacing w:before="312" w:beforeLines="100"/>
        <w:ind w:left="420" w:hanging="278"/>
        <w:rPr>
          <w:rFonts w:hint="eastAsia" w:ascii="宋体" w:hAnsi="宋体" w:eastAsia="宋体" w:cs="宋体"/>
          <w:color w:val="auto"/>
          <w:sz w:val="28"/>
          <w:szCs w:val="32"/>
        </w:rPr>
      </w:pPr>
      <w:r>
        <w:rPr>
          <w:rFonts w:hint="eastAsia" w:ascii="宋体" w:hAnsi="宋体" w:eastAsia="宋体" w:cs="宋体"/>
          <w:color w:val="auto"/>
          <w:sz w:val="28"/>
          <w:szCs w:val="32"/>
        </w:rPr>
        <w:t>9.《土地利用分类现状》 (GB/T21010-2017)；</w:t>
      </w:r>
    </w:p>
    <w:p w14:paraId="4F3A5896">
      <w:pPr>
        <w:pBdr>
          <w:bottom w:val="single" w:color="auto" w:sz="4" w:space="5"/>
        </w:pBdr>
        <w:spacing w:before="312" w:beforeLines="100"/>
        <w:ind w:left="420" w:hanging="278"/>
        <w:rPr>
          <w:rFonts w:hint="eastAsia" w:ascii="宋体" w:hAnsi="宋体" w:eastAsia="宋体" w:cs="宋体"/>
          <w:color w:val="auto"/>
          <w:sz w:val="28"/>
          <w:szCs w:val="32"/>
        </w:rPr>
      </w:pPr>
      <w:r>
        <w:rPr>
          <w:rFonts w:hint="eastAsia" w:ascii="宋体" w:hAnsi="宋体" w:eastAsia="宋体" w:cs="宋体"/>
          <w:color w:val="auto"/>
          <w:sz w:val="28"/>
          <w:szCs w:val="32"/>
        </w:rPr>
        <w:t>10.《土地利用动态遥感监测规程》 (TD/T1010-2015)。</w:t>
      </w:r>
    </w:p>
    <w:p w14:paraId="5BA3A3BD">
      <w:pPr>
        <w:pBdr>
          <w:bottom w:val="single" w:color="auto" w:sz="4" w:space="5"/>
        </w:pBdr>
        <w:spacing w:before="312" w:beforeLines="100"/>
        <w:ind w:left="420" w:hanging="278"/>
        <w:rPr>
          <w:rFonts w:hint="eastAsia" w:ascii="宋体" w:hAnsi="宋体" w:eastAsia="宋体" w:cs="宋体"/>
          <w:b/>
          <w:color w:val="auto"/>
          <w:sz w:val="32"/>
          <w:szCs w:val="32"/>
        </w:rPr>
      </w:pPr>
      <w:r>
        <w:rPr>
          <w:rFonts w:hint="eastAsia" w:ascii="宋体" w:hAnsi="宋体" w:eastAsia="宋体" w:cs="宋体"/>
          <w:b/>
          <w:color w:val="auto"/>
          <w:sz w:val="32"/>
          <w:szCs w:val="32"/>
        </w:rPr>
        <w:t>四、服务要求</w:t>
      </w:r>
    </w:p>
    <w:p w14:paraId="34324BE0">
      <w:pPr>
        <w:ind w:firstLine="165" w:firstLineChars="59"/>
        <w:rPr>
          <w:rFonts w:hint="eastAsia" w:ascii="宋体" w:hAnsi="宋体" w:eastAsia="宋体" w:cs="宋体"/>
          <w:color w:val="auto"/>
          <w:sz w:val="28"/>
          <w:szCs w:val="32"/>
        </w:rPr>
      </w:pPr>
      <w:r>
        <w:rPr>
          <w:rFonts w:hint="eastAsia" w:ascii="宋体" w:hAnsi="宋体" w:eastAsia="宋体" w:cs="宋体"/>
          <w:color w:val="auto"/>
          <w:sz w:val="28"/>
          <w:szCs w:val="32"/>
        </w:rPr>
        <w:t>1.向采购单位提供有效的技术指导、培训和支援。</w:t>
      </w:r>
    </w:p>
    <w:p w14:paraId="4F44AF39">
      <w:pPr>
        <w:ind w:left="470" w:leftChars="68" w:hanging="327" w:hangingChars="117"/>
        <w:rPr>
          <w:rFonts w:hint="eastAsia" w:ascii="宋体" w:hAnsi="宋体" w:eastAsia="宋体" w:cs="宋体"/>
          <w:color w:val="auto"/>
          <w:sz w:val="28"/>
          <w:szCs w:val="32"/>
        </w:rPr>
      </w:pPr>
      <w:r>
        <w:rPr>
          <w:rFonts w:hint="eastAsia" w:ascii="宋体" w:hAnsi="宋体" w:eastAsia="宋体" w:cs="宋体"/>
          <w:color w:val="auto"/>
          <w:sz w:val="28"/>
          <w:szCs w:val="32"/>
        </w:rPr>
        <w:t>2.</w:t>
      </w:r>
      <w:r>
        <w:rPr>
          <w:rFonts w:hint="eastAsia" w:ascii="宋体" w:hAnsi="宋体" w:cs="宋体"/>
          <w:color w:val="auto"/>
          <w:sz w:val="28"/>
          <w:szCs w:val="32"/>
          <w:lang w:val="en-US" w:eastAsia="zh-CN"/>
        </w:rPr>
        <w:t>成交供应商</w:t>
      </w:r>
      <w:r>
        <w:rPr>
          <w:rFonts w:hint="eastAsia" w:ascii="宋体" w:hAnsi="宋体" w:eastAsia="宋体" w:cs="宋体"/>
          <w:color w:val="auto"/>
          <w:sz w:val="28"/>
          <w:szCs w:val="32"/>
        </w:rPr>
        <w:t>负责免费为采购</w:t>
      </w:r>
      <w:r>
        <w:rPr>
          <w:rFonts w:hint="eastAsia" w:ascii="宋体" w:hAnsi="宋体" w:cs="宋体"/>
          <w:color w:val="auto"/>
          <w:sz w:val="28"/>
          <w:szCs w:val="32"/>
          <w:lang w:val="en-US" w:eastAsia="zh-CN"/>
        </w:rPr>
        <w:t>人</w:t>
      </w:r>
      <w:r>
        <w:rPr>
          <w:rFonts w:hint="eastAsia" w:ascii="宋体" w:hAnsi="宋体" w:eastAsia="宋体" w:cs="宋体"/>
          <w:color w:val="auto"/>
          <w:sz w:val="28"/>
          <w:szCs w:val="32"/>
        </w:rPr>
        <w:t>提供对整个项目的合理化把控能够提出可行性建议，有能力对项目中出现的各种问题提供可供参考的解决方案，以保证项目顺利进行。</w:t>
      </w:r>
    </w:p>
    <w:p w14:paraId="2D14222B">
      <w:pPr>
        <w:ind w:firstLine="165" w:firstLineChars="59"/>
        <w:rPr>
          <w:rFonts w:hint="eastAsia" w:ascii="宋体" w:hAnsi="宋体" w:eastAsia="宋体" w:cs="宋体"/>
          <w:color w:val="auto"/>
          <w:sz w:val="32"/>
          <w:szCs w:val="32"/>
        </w:rPr>
      </w:pPr>
      <w:r>
        <w:rPr>
          <w:rFonts w:hint="eastAsia" w:ascii="宋体" w:hAnsi="宋体" w:eastAsia="宋体" w:cs="宋体"/>
          <w:color w:val="auto"/>
          <w:sz w:val="28"/>
          <w:szCs w:val="32"/>
        </w:rPr>
        <w:t>3.配合采购单位与本项目有关的其他工作。</w:t>
      </w:r>
    </w:p>
    <w:p w14:paraId="67B49276">
      <w:pPr>
        <w:pBdr>
          <w:bottom w:val="single" w:color="auto" w:sz="4" w:space="1"/>
        </w:pBdr>
        <w:spacing w:before="312" w:beforeLines="100"/>
        <w:ind w:left="420" w:hanging="420"/>
        <w:rPr>
          <w:rFonts w:hint="eastAsia" w:ascii="宋体" w:hAnsi="宋体" w:eastAsia="宋体" w:cs="宋体"/>
          <w:b/>
          <w:color w:val="auto"/>
          <w:sz w:val="32"/>
          <w:szCs w:val="32"/>
        </w:rPr>
      </w:pPr>
      <w:r>
        <w:rPr>
          <w:rFonts w:hint="eastAsia" w:ascii="宋体" w:hAnsi="宋体" w:eastAsia="宋体" w:cs="宋体"/>
          <w:b/>
          <w:color w:val="auto"/>
          <w:sz w:val="32"/>
          <w:szCs w:val="32"/>
        </w:rPr>
        <w:t>五、商务要求</w:t>
      </w:r>
    </w:p>
    <w:p w14:paraId="13F920C6">
      <w:pPr>
        <w:ind w:left="470" w:leftChars="68" w:hanging="327" w:hangingChars="117"/>
        <w:rPr>
          <w:rFonts w:hint="eastAsia" w:ascii="宋体" w:hAnsi="宋体" w:eastAsia="宋体" w:cs="宋体"/>
          <w:color w:val="auto"/>
          <w:sz w:val="28"/>
          <w:szCs w:val="32"/>
        </w:rPr>
      </w:pPr>
      <w:r>
        <w:rPr>
          <w:rFonts w:hint="eastAsia" w:ascii="宋体" w:hAnsi="宋体" w:eastAsia="宋体" w:cs="宋体"/>
          <w:color w:val="auto"/>
          <w:sz w:val="28"/>
          <w:szCs w:val="32"/>
        </w:rPr>
        <w:t>（一）服务期限</w:t>
      </w:r>
    </w:p>
    <w:p w14:paraId="0CE24C8C">
      <w:pPr>
        <w:ind w:left="622" w:leftChars="296" w:firstLine="235" w:firstLineChars="84"/>
        <w:rPr>
          <w:rFonts w:hint="eastAsia" w:ascii="宋体" w:hAnsi="宋体" w:eastAsia="宋体" w:cs="宋体"/>
          <w:color w:val="auto"/>
          <w:sz w:val="28"/>
          <w:szCs w:val="32"/>
        </w:rPr>
      </w:pPr>
      <w:r>
        <w:rPr>
          <w:rFonts w:hint="eastAsia" w:ascii="宋体" w:hAnsi="宋体" w:eastAsia="宋体" w:cs="宋体"/>
          <w:color w:val="auto"/>
          <w:sz w:val="28"/>
          <w:szCs w:val="32"/>
        </w:rPr>
        <w:t>自合同签订之日起10个月。</w:t>
      </w:r>
    </w:p>
    <w:p w14:paraId="4F5C9CD9">
      <w:pPr>
        <w:rPr>
          <w:rFonts w:hint="eastAsia" w:ascii="宋体" w:hAnsi="宋体" w:eastAsia="宋体" w:cs="宋体"/>
          <w:color w:val="auto"/>
          <w:sz w:val="32"/>
          <w:szCs w:val="32"/>
        </w:rPr>
      </w:pPr>
    </w:p>
    <w:p w14:paraId="2EBA437E">
      <w:pPr>
        <w:ind w:left="470" w:leftChars="68" w:hanging="327" w:hangingChars="117"/>
        <w:rPr>
          <w:rFonts w:hint="eastAsia" w:ascii="宋体" w:hAnsi="宋体" w:eastAsia="宋体" w:cs="宋体"/>
          <w:color w:val="auto"/>
          <w:sz w:val="28"/>
          <w:szCs w:val="32"/>
        </w:rPr>
      </w:pPr>
      <w:r>
        <w:rPr>
          <w:rFonts w:hint="eastAsia" w:ascii="宋体" w:hAnsi="宋体" w:eastAsia="宋体" w:cs="宋体"/>
          <w:color w:val="auto"/>
          <w:sz w:val="28"/>
          <w:szCs w:val="32"/>
        </w:rPr>
        <w:t>（</w:t>
      </w:r>
      <w:r>
        <w:rPr>
          <w:rFonts w:hint="eastAsia" w:ascii="宋体" w:hAnsi="宋体" w:cs="宋体"/>
          <w:color w:val="auto"/>
          <w:sz w:val="28"/>
          <w:szCs w:val="32"/>
          <w:lang w:val="en-US" w:eastAsia="zh-CN"/>
        </w:rPr>
        <w:t>二</w:t>
      </w:r>
      <w:r>
        <w:rPr>
          <w:rFonts w:hint="eastAsia" w:ascii="宋体" w:hAnsi="宋体" w:eastAsia="宋体" w:cs="宋体"/>
          <w:color w:val="auto"/>
          <w:sz w:val="28"/>
          <w:szCs w:val="32"/>
        </w:rPr>
        <w:t>）款项结算</w:t>
      </w:r>
    </w:p>
    <w:p w14:paraId="7538CFCA">
      <w:pPr>
        <w:ind w:left="622" w:leftChars="296" w:firstLine="235" w:firstLineChars="84"/>
        <w:rPr>
          <w:rFonts w:hint="eastAsia" w:ascii="宋体" w:hAnsi="宋体" w:eastAsia="宋体" w:cs="宋体"/>
          <w:color w:val="auto"/>
          <w:sz w:val="28"/>
          <w:szCs w:val="32"/>
        </w:rPr>
      </w:pPr>
      <w:r>
        <w:rPr>
          <w:rFonts w:hint="eastAsia" w:ascii="宋体" w:hAnsi="宋体" w:eastAsia="宋体" w:cs="宋体"/>
          <w:color w:val="auto"/>
          <w:sz w:val="28"/>
          <w:szCs w:val="32"/>
        </w:rPr>
        <w:t>签订合同后 ，达到付款条件起 7 日内，支付合同总金额的 30.00%。</w:t>
      </w:r>
    </w:p>
    <w:p w14:paraId="222D9821">
      <w:pPr>
        <w:ind w:left="622" w:leftChars="296" w:firstLine="235" w:firstLineChars="84"/>
        <w:rPr>
          <w:rFonts w:hint="eastAsia" w:ascii="宋体" w:hAnsi="宋体" w:eastAsia="宋体" w:cs="宋体"/>
          <w:color w:val="auto"/>
          <w:sz w:val="28"/>
          <w:szCs w:val="32"/>
          <w:lang w:eastAsia="zh-CN"/>
        </w:rPr>
      </w:pPr>
      <w:r>
        <w:rPr>
          <w:rFonts w:hint="eastAsia" w:ascii="宋体" w:hAnsi="宋体" w:eastAsia="宋体" w:cs="宋体"/>
          <w:color w:val="auto"/>
          <w:sz w:val="28"/>
          <w:szCs w:val="32"/>
        </w:rPr>
        <w:t>提交成果并完成后期技术服务后 ，达到付款条件起 15 日内，支付合同总金额的 70.00%</w:t>
      </w:r>
      <w:r>
        <w:rPr>
          <w:rFonts w:hint="eastAsia" w:ascii="宋体" w:hAnsi="宋体" w:cs="宋体"/>
          <w:color w:val="auto"/>
          <w:sz w:val="28"/>
          <w:szCs w:val="32"/>
          <w:lang w:eastAsia="zh-CN"/>
        </w:rPr>
        <w:t>。</w:t>
      </w:r>
    </w:p>
    <w:p w14:paraId="7DCECF5B">
      <w:pPr>
        <w:pBdr>
          <w:bottom w:val="single" w:color="auto" w:sz="4" w:space="1"/>
        </w:pBdr>
        <w:spacing w:before="312" w:beforeLines="100"/>
        <w:rPr>
          <w:rFonts w:hint="eastAsia" w:ascii="宋体" w:hAnsi="宋体" w:eastAsia="宋体" w:cs="宋体"/>
          <w:color w:val="auto"/>
          <w:sz w:val="32"/>
          <w:szCs w:val="32"/>
        </w:rPr>
      </w:pPr>
      <w:r>
        <w:rPr>
          <w:rFonts w:hint="eastAsia" w:ascii="宋体" w:hAnsi="宋体" w:eastAsia="宋体" w:cs="宋体"/>
          <w:b/>
          <w:color w:val="auto"/>
          <w:sz w:val="32"/>
          <w:szCs w:val="32"/>
        </w:rPr>
        <w:t>六、其他</w:t>
      </w:r>
    </w:p>
    <w:p w14:paraId="1EA95106">
      <w:pPr>
        <w:spacing w:line="400" w:lineRule="exact"/>
        <w:rPr>
          <w:rFonts w:hint="eastAsia" w:ascii="宋体" w:hAnsi="宋体" w:eastAsia="宋体" w:cs="宋体"/>
          <w:color w:val="auto"/>
          <w:sz w:val="28"/>
          <w:szCs w:val="32"/>
        </w:rPr>
      </w:pPr>
      <w:r>
        <w:rPr>
          <w:rFonts w:hint="eastAsia" w:ascii="宋体" w:hAnsi="宋体" w:eastAsia="宋体" w:cs="宋体"/>
          <w:color w:val="auto"/>
          <w:sz w:val="28"/>
          <w:szCs w:val="32"/>
        </w:rPr>
        <w:t>（</w:t>
      </w:r>
      <w:r>
        <w:rPr>
          <w:rFonts w:hint="eastAsia" w:ascii="宋体" w:hAnsi="宋体" w:cs="宋体"/>
          <w:color w:val="auto"/>
          <w:sz w:val="28"/>
          <w:szCs w:val="32"/>
          <w:lang w:val="en-US" w:eastAsia="zh-CN"/>
        </w:rPr>
        <w:t>一</w:t>
      </w:r>
      <w:r>
        <w:rPr>
          <w:rFonts w:hint="eastAsia" w:ascii="宋体" w:hAnsi="宋体" w:eastAsia="宋体" w:cs="宋体"/>
          <w:color w:val="auto"/>
          <w:sz w:val="28"/>
          <w:szCs w:val="32"/>
        </w:rPr>
        <w:t>）成果交付要求</w:t>
      </w:r>
    </w:p>
    <w:p w14:paraId="3F1C22F7">
      <w:pPr>
        <w:ind w:left="1200" w:hanging="720"/>
        <w:rPr>
          <w:rFonts w:hint="eastAsia" w:ascii="宋体" w:hAnsi="宋体" w:eastAsia="宋体" w:cs="宋体"/>
          <w:color w:val="auto"/>
          <w:sz w:val="28"/>
          <w:szCs w:val="32"/>
        </w:rPr>
      </w:pPr>
      <w:r>
        <w:rPr>
          <w:rFonts w:hint="eastAsia" w:ascii="宋体" w:hAnsi="宋体" w:eastAsia="宋体" w:cs="宋体"/>
          <w:color w:val="auto"/>
          <w:sz w:val="28"/>
          <w:szCs w:val="32"/>
        </w:rPr>
        <w:t>1.工作方案 (1 份) ；</w:t>
      </w:r>
    </w:p>
    <w:p w14:paraId="5A123229">
      <w:pPr>
        <w:ind w:left="1200" w:hanging="720"/>
        <w:rPr>
          <w:rFonts w:hint="eastAsia" w:ascii="宋体" w:hAnsi="宋体" w:eastAsia="宋体" w:cs="宋体"/>
          <w:color w:val="auto"/>
          <w:sz w:val="28"/>
          <w:szCs w:val="32"/>
        </w:rPr>
      </w:pPr>
      <w:r>
        <w:rPr>
          <w:rFonts w:hint="eastAsia" w:ascii="宋体" w:hAnsi="宋体" w:eastAsia="宋体" w:cs="宋体"/>
          <w:color w:val="auto"/>
          <w:sz w:val="28"/>
          <w:szCs w:val="32"/>
        </w:rPr>
        <w:t>2.信息采集表 (1 套) ；</w:t>
      </w:r>
    </w:p>
    <w:p w14:paraId="2FC20D2B">
      <w:pPr>
        <w:ind w:left="1200" w:hanging="720"/>
        <w:rPr>
          <w:rFonts w:hint="eastAsia" w:ascii="宋体" w:hAnsi="宋体" w:eastAsia="宋体" w:cs="宋体"/>
          <w:color w:val="auto"/>
          <w:sz w:val="28"/>
          <w:szCs w:val="32"/>
        </w:rPr>
      </w:pPr>
      <w:r>
        <w:rPr>
          <w:rFonts w:hint="eastAsia" w:ascii="宋体" w:hAnsi="宋体" w:eastAsia="宋体" w:cs="宋体"/>
          <w:color w:val="auto"/>
          <w:sz w:val="28"/>
          <w:szCs w:val="32"/>
        </w:rPr>
        <w:t>3.摸排工作台帐 (1 份) ；</w:t>
      </w:r>
    </w:p>
    <w:p w14:paraId="7D89A4D9">
      <w:pPr>
        <w:ind w:left="1200" w:hanging="720"/>
        <w:rPr>
          <w:rFonts w:hint="eastAsia" w:ascii="宋体" w:hAnsi="宋体" w:eastAsia="宋体" w:cs="宋体"/>
          <w:color w:val="auto"/>
          <w:sz w:val="32"/>
          <w:szCs w:val="32"/>
        </w:rPr>
      </w:pPr>
      <w:r>
        <w:rPr>
          <w:rFonts w:hint="eastAsia" w:ascii="宋体" w:hAnsi="宋体" w:eastAsia="宋体" w:cs="宋体"/>
          <w:color w:val="auto"/>
          <w:sz w:val="28"/>
          <w:szCs w:val="32"/>
        </w:rPr>
        <w:t>4.汇交数据 (1 份) ；</w:t>
      </w:r>
    </w:p>
    <w:p w14:paraId="3F0E43B0">
      <w:pPr>
        <w:ind w:left="284" w:hanging="284"/>
        <w:rPr>
          <w:rFonts w:hint="eastAsia" w:ascii="宋体" w:hAnsi="宋体" w:eastAsia="宋体" w:cs="宋体"/>
          <w:color w:val="auto"/>
          <w:sz w:val="28"/>
          <w:szCs w:val="32"/>
        </w:rPr>
      </w:pPr>
      <w:r>
        <w:rPr>
          <w:rFonts w:hint="eastAsia" w:ascii="宋体" w:hAnsi="宋体" w:eastAsia="宋体" w:cs="宋体"/>
          <w:color w:val="auto"/>
          <w:sz w:val="28"/>
          <w:szCs w:val="32"/>
        </w:rPr>
        <w:t>（</w:t>
      </w:r>
      <w:r>
        <w:rPr>
          <w:rFonts w:hint="eastAsia" w:ascii="宋体" w:hAnsi="宋体" w:cs="宋体"/>
          <w:color w:val="auto"/>
          <w:sz w:val="28"/>
          <w:szCs w:val="32"/>
          <w:lang w:val="en-US" w:eastAsia="zh-CN"/>
        </w:rPr>
        <w:t>二</w:t>
      </w:r>
      <w:r>
        <w:rPr>
          <w:rFonts w:hint="eastAsia" w:ascii="宋体" w:hAnsi="宋体" w:eastAsia="宋体" w:cs="宋体"/>
          <w:color w:val="auto"/>
          <w:sz w:val="28"/>
          <w:szCs w:val="32"/>
        </w:rPr>
        <w:t>）质量验收标准或规范</w:t>
      </w:r>
    </w:p>
    <w:p w14:paraId="197935AC">
      <w:pPr>
        <w:ind w:left="284" w:hanging="284"/>
        <w:rPr>
          <w:rFonts w:hint="eastAsia" w:ascii="宋体" w:hAnsi="宋体" w:eastAsia="宋体" w:cs="宋体"/>
          <w:color w:val="auto"/>
          <w:sz w:val="28"/>
          <w:szCs w:val="32"/>
        </w:rPr>
      </w:pPr>
      <w:r>
        <w:rPr>
          <w:rFonts w:hint="eastAsia" w:ascii="宋体" w:hAnsi="宋体" w:eastAsia="宋体" w:cs="宋体"/>
          <w:color w:val="auto"/>
          <w:sz w:val="28"/>
          <w:szCs w:val="32"/>
        </w:rPr>
        <w:t>现行的国家标准或国家行政部门颁布的法律法规、规章制度等，是项目验收的另一个重要依据。没有国家标准的，可以参考行业标准。</w:t>
      </w:r>
    </w:p>
    <w:p w14:paraId="668467D0">
      <w:pPr>
        <w:ind w:left="284" w:hanging="284"/>
        <w:rPr>
          <w:rFonts w:hint="eastAsia" w:ascii="宋体" w:hAnsi="宋体" w:eastAsia="宋体" w:cs="宋体"/>
          <w:color w:val="auto"/>
          <w:sz w:val="28"/>
          <w:szCs w:val="32"/>
        </w:rPr>
      </w:pPr>
      <w:r>
        <w:rPr>
          <w:rFonts w:hint="eastAsia" w:ascii="宋体" w:hAnsi="宋体" w:eastAsia="宋体" w:cs="宋体"/>
          <w:color w:val="auto"/>
          <w:sz w:val="28"/>
          <w:szCs w:val="32"/>
        </w:rPr>
        <w:t>1、服务应满足国家及行业相关标准，以及招标文件要求及相关服务合同、技术协议等要求；</w:t>
      </w:r>
    </w:p>
    <w:p w14:paraId="53B4A857">
      <w:pPr>
        <w:ind w:left="709" w:hanging="709"/>
        <w:rPr>
          <w:rFonts w:hint="eastAsia" w:ascii="宋体" w:hAnsi="宋体" w:eastAsia="宋体" w:cs="宋体"/>
          <w:color w:val="auto"/>
          <w:sz w:val="32"/>
          <w:szCs w:val="32"/>
        </w:rPr>
      </w:pPr>
      <w:r>
        <w:rPr>
          <w:rFonts w:hint="eastAsia" w:ascii="宋体" w:hAnsi="宋体" w:eastAsia="宋体" w:cs="宋体"/>
          <w:color w:val="auto"/>
          <w:sz w:val="28"/>
          <w:szCs w:val="32"/>
        </w:rPr>
        <w:t>2、质量符合国家法律法规规定的合格标准、招标文件的要求。</w:t>
      </w:r>
    </w:p>
    <w:p w14:paraId="375EE727">
      <w:pPr>
        <w:ind w:left="284" w:hanging="284"/>
        <w:rPr>
          <w:rFonts w:hint="eastAsia" w:ascii="宋体" w:hAnsi="宋体" w:cs="宋体"/>
          <w:color w:val="auto"/>
          <w:sz w:val="28"/>
          <w:szCs w:val="32"/>
          <w:lang w:val="en-US" w:eastAsia="zh-CN"/>
        </w:rPr>
      </w:pPr>
      <w:r>
        <w:rPr>
          <w:rFonts w:hint="eastAsia" w:ascii="宋体" w:hAnsi="宋体" w:cs="宋体"/>
          <w:color w:val="auto"/>
          <w:sz w:val="28"/>
          <w:szCs w:val="32"/>
          <w:lang w:val="en-US" w:eastAsia="zh-CN"/>
        </w:rPr>
        <w:t>（三）违约责任</w:t>
      </w:r>
    </w:p>
    <w:p w14:paraId="4BB6B045">
      <w:pPr>
        <w:rPr>
          <w:rFonts w:hint="eastAsia" w:ascii="宋体" w:hAnsi="宋体" w:eastAsia="宋体" w:cs="宋体"/>
          <w:color w:val="auto"/>
          <w:sz w:val="28"/>
          <w:szCs w:val="28"/>
        </w:rPr>
      </w:pPr>
      <w:r>
        <w:rPr>
          <w:rFonts w:hint="eastAsia" w:ascii="宋体" w:hAnsi="宋体" w:eastAsia="宋体" w:cs="宋体"/>
          <w:color w:val="auto"/>
          <w:sz w:val="28"/>
          <w:szCs w:val="28"/>
        </w:rPr>
        <w:t>1、按《中华人民共和国民法典》中的相关条款执行。</w:t>
      </w:r>
    </w:p>
    <w:p w14:paraId="14708876">
      <w:pPr>
        <w:rPr>
          <w:rFonts w:hint="eastAsia" w:ascii="宋体" w:hAnsi="宋体" w:eastAsia="宋体" w:cs="宋体"/>
          <w:color w:val="auto"/>
          <w:sz w:val="28"/>
          <w:szCs w:val="28"/>
        </w:rPr>
      </w:pPr>
      <w:r>
        <w:rPr>
          <w:rFonts w:hint="eastAsia" w:ascii="宋体" w:hAnsi="宋体" w:eastAsia="宋体" w:cs="宋体"/>
          <w:color w:val="auto"/>
          <w:sz w:val="28"/>
          <w:szCs w:val="28"/>
        </w:rPr>
        <w:t>2、未按合同要求提供服务或服务质量不能满足服务要求和标准，采购人有权终止合同，并对供方违约行为进行追究，同时按《政府采购法》的有关规定进行处罚。</w:t>
      </w: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16495B"/>
    <w:multiLevelType w:val="multilevel"/>
    <w:tmpl w:val="7816495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NTMwNmZlZjQxODgxNTg2MmFhODY1ZDFhZjkwMDE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0B55"/>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01A5"/>
    <w:rsid w:val="001E2BB9"/>
    <w:rsid w:val="001E6A70"/>
    <w:rsid w:val="001F2059"/>
    <w:rsid w:val="001F49A1"/>
    <w:rsid w:val="001F4ACC"/>
    <w:rsid w:val="001F7532"/>
    <w:rsid w:val="00201795"/>
    <w:rsid w:val="0020498C"/>
    <w:rsid w:val="00207790"/>
    <w:rsid w:val="00210CFC"/>
    <w:rsid w:val="00210FBE"/>
    <w:rsid w:val="002125C8"/>
    <w:rsid w:val="00212EA7"/>
    <w:rsid w:val="00213205"/>
    <w:rsid w:val="002133CE"/>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55B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4CD"/>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06D90"/>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5AE"/>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5BA"/>
    <w:rsid w:val="006F07C9"/>
    <w:rsid w:val="006F0A6B"/>
    <w:rsid w:val="006F0F75"/>
    <w:rsid w:val="006F5AC8"/>
    <w:rsid w:val="006F5F50"/>
    <w:rsid w:val="006F721C"/>
    <w:rsid w:val="00704218"/>
    <w:rsid w:val="00706102"/>
    <w:rsid w:val="00711356"/>
    <w:rsid w:val="00716375"/>
    <w:rsid w:val="00723820"/>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262"/>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2C9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4E3"/>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405"/>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C4A49"/>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DAE649D"/>
    <w:rsid w:val="14C307F1"/>
    <w:rsid w:val="15763D45"/>
    <w:rsid w:val="19E362F3"/>
    <w:rsid w:val="25E62821"/>
    <w:rsid w:val="29B54625"/>
    <w:rsid w:val="344D7F0F"/>
    <w:rsid w:val="39213DA6"/>
    <w:rsid w:val="3A83468A"/>
    <w:rsid w:val="3D5C1616"/>
    <w:rsid w:val="3ED941BE"/>
    <w:rsid w:val="42134546"/>
    <w:rsid w:val="486F44A0"/>
    <w:rsid w:val="4A302B69"/>
    <w:rsid w:val="54510EFA"/>
    <w:rsid w:val="57390153"/>
    <w:rsid w:val="5814296E"/>
    <w:rsid w:val="5E552247"/>
    <w:rsid w:val="64371EBE"/>
    <w:rsid w:val="6D1014FE"/>
    <w:rsid w:val="6FCD1928"/>
    <w:rsid w:val="76B178AE"/>
    <w:rsid w:val="7C6A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34"/>
    <w:autoRedefine/>
    <w:semiHidden/>
    <w:unhideWhenUsed/>
    <w:qFormat/>
    <w:uiPriority w:val="99"/>
    <w:pPr>
      <w:jc w:val="left"/>
    </w:pPr>
  </w:style>
  <w:style w:type="paragraph" w:styleId="3">
    <w:name w:val="Balloon Text"/>
    <w:basedOn w:val="1"/>
    <w:link w:val="36"/>
    <w:autoRedefine/>
    <w:semiHidden/>
    <w:unhideWhenUsed/>
    <w:qFormat/>
    <w:uiPriority w:val="99"/>
    <w:rPr>
      <w:sz w:val="18"/>
      <w:szCs w:val="18"/>
    </w:rPr>
  </w:style>
  <w:style w:type="paragraph" w:styleId="4">
    <w:name w:val="footer"/>
    <w:basedOn w:val="1"/>
    <w:link w:val="33"/>
    <w:unhideWhenUsed/>
    <w:qFormat/>
    <w:uiPriority w:val="99"/>
    <w:pPr>
      <w:tabs>
        <w:tab w:val="center" w:pos="4153"/>
        <w:tab w:val="right" w:pos="8306"/>
      </w:tabs>
      <w:snapToGrid w:val="0"/>
      <w:jc w:val="left"/>
    </w:pPr>
    <w:rPr>
      <w:sz w:val="18"/>
      <w:szCs w:val="18"/>
    </w:rPr>
  </w:style>
  <w:style w:type="paragraph" w:styleId="5">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35"/>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paragraph" w:customStyle="1" w:styleId="10">
    <w:name w:val="※封面大标题"/>
    <w:basedOn w:val="1"/>
    <w:next w:val="1"/>
    <w:autoRedefine/>
    <w:qFormat/>
    <w:uiPriority w:val="0"/>
    <w:pPr>
      <w:widowControl/>
      <w:jc w:val="center"/>
    </w:pPr>
    <w:rPr>
      <w:rFonts w:ascii="华文中宋" w:hAnsi="华文中宋" w:eastAsia="华文中宋"/>
      <w:sz w:val="96"/>
      <w:szCs w:val="96"/>
    </w:rPr>
  </w:style>
  <w:style w:type="paragraph" w:customStyle="1" w:styleId="11">
    <w:name w:val="※封面题颌"/>
    <w:basedOn w:val="1"/>
    <w:next w:val="1"/>
    <w:autoRedefine/>
    <w:qFormat/>
    <w:uiPriority w:val="0"/>
    <w:pPr>
      <w:widowControl/>
      <w:jc w:val="center"/>
    </w:pPr>
    <w:rPr>
      <w:rFonts w:ascii="Calibri Light" w:hAnsi="Calibri Light" w:eastAsia="华文仿宋"/>
      <w:sz w:val="36"/>
      <w:szCs w:val="36"/>
    </w:rPr>
  </w:style>
  <w:style w:type="paragraph" w:customStyle="1" w:styleId="12">
    <w:name w:val="※封面题眉"/>
    <w:basedOn w:val="1"/>
    <w:next w:val="10"/>
    <w:autoRedefine/>
    <w:qFormat/>
    <w:uiPriority w:val="0"/>
    <w:pPr>
      <w:widowControl/>
      <w:jc w:val="center"/>
    </w:pPr>
    <w:rPr>
      <w:rFonts w:ascii="华文仿宋" w:hAnsi="华文仿宋" w:eastAsia="华文仿宋"/>
      <w:sz w:val="52"/>
      <w:szCs w:val="28"/>
    </w:rPr>
  </w:style>
  <w:style w:type="paragraph" w:customStyle="1" w:styleId="13">
    <w:name w:val="※封面题须"/>
    <w:basedOn w:val="1"/>
    <w:autoRedefine/>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4">
    <w:name w:val="※目录（次）"/>
    <w:basedOn w:val="1"/>
    <w:autoRedefine/>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5">
    <w:name w:val="※目录（主）"/>
    <w:basedOn w:val="1"/>
    <w:autoRedefine/>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6">
    <w:name w:val="※小标题 1"/>
    <w:basedOn w:val="1"/>
    <w:next w:val="1"/>
    <w:autoRedefine/>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7">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18">
    <w:name w:val="※小标题 一"/>
    <w:basedOn w:val="17"/>
    <w:next w:val="17"/>
    <w:autoRedefine/>
    <w:qFormat/>
    <w:uiPriority w:val="0"/>
    <w:pPr>
      <w:spacing w:before="120" w:line="240" w:lineRule="auto"/>
      <w:outlineLvl w:val="2"/>
    </w:pPr>
    <w:rPr>
      <w:b/>
      <w:color w:val="203864" w:themeColor="accent5" w:themeShade="80"/>
      <w:sz w:val="32"/>
    </w:rPr>
  </w:style>
  <w:style w:type="paragraph" w:customStyle="1" w:styleId="19">
    <w:name w:val="※小标题（1）"/>
    <w:basedOn w:val="1"/>
    <w:next w:val="17"/>
    <w:autoRedefine/>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0">
    <w:name w:val="※小标题（一）"/>
    <w:basedOn w:val="1"/>
    <w:next w:val="17"/>
    <w:autoRedefine/>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1">
    <w:name w:val="※页脚（横屏）"/>
    <w:basedOn w:val="1"/>
    <w:autoRedefine/>
    <w:qFormat/>
    <w:uiPriority w:val="0"/>
    <w:pPr>
      <w:widowControl/>
      <w:tabs>
        <w:tab w:val="center" w:pos="7000"/>
      </w:tabs>
      <w:wordWrap w:val="0"/>
      <w:spacing w:line="240" w:lineRule="atLeast"/>
      <w:jc w:val="left"/>
    </w:pPr>
    <w:rPr>
      <w:rFonts w:ascii="宋体" w:hAnsi="宋体"/>
      <w:sz w:val="18"/>
      <w:szCs w:val="18"/>
    </w:rPr>
  </w:style>
  <w:style w:type="paragraph" w:customStyle="1" w:styleId="22">
    <w:name w:val="※页脚（竖屏）"/>
    <w:basedOn w:val="1"/>
    <w:autoRedefine/>
    <w:qFormat/>
    <w:uiPriority w:val="0"/>
    <w:pPr>
      <w:widowControl/>
      <w:tabs>
        <w:tab w:val="center" w:pos="4536"/>
      </w:tabs>
      <w:wordWrap w:val="0"/>
      <w:spacing w:line="240" w:lineRule="atLeast"/>
      <w:jc w:val="left"/>
    </w:pPr>
    <w:rPr>
      <w:rFonts w:ascii="宋体" w:hAnsi="宋体"/>
      <w:sz w:val="18"/>
      <w:szCs w:val="18"/>
    </w:rPr>
  </w:style>
  <w:style w:type="paragraph" w:customStyle="1" w:styleId="23">
    <w:name w:val="※页眉"/>
    <w:basedOn w:val="17"/>
    <w:autoRedefine/>
    <w:qFormat/>
    <w:uiPriority w:val="0"/>
    <w:pPr>
      <w:pBdr>
        <w:bottom w:val="single" w:color="auto" w:sz="4" w:space="1"/>
      </w:pBdr>
      <w:spacing w:line="240" w:lineRule="atLeast"/>
      <w:jc w:val="right"/>
    </w:pPr>
    <w:rPr>
      <w:rFonts w:ascii="宋体" w:hAnsi="宋体" w:eastAsia="宋体"/>
      <w:sz w:val="18"/>
    </w:rPr>
  </w:style>
  <w:style w:type="paragraph" w:customStyle="1" w:styleId="24">
    <w:name w:val="※章节标题（第X章）"/>
    <w:basedOn w:val="1"/>
    <w:autoRedefine/>
    <w:qFormat/>
    <w:uiPriority w:val="0"/>
    <w:pPr>
      <w:widowControl/>
      <w:jc w:val="center"/>
      <w:outlineLvl w:val="0"/>
    </w:pPr>
    <w:rPr>
      <w:rFonts w:ascii="Calibri Light" w:hAnsi="Calibri Light" w:eastAsia="黑体"/>
      <w:sz w:val="36"/>
      <w:szCs w:val="28"/>
    </w:rPr>
  </w:style>
  <w:style w:type="paragraph" w:customStyle="1" w:styleId="25">
    <w:name w:val="※章节标题（第Y部分）"/>
    <w:basedOn w:val="1"/>
    <w:next w:val="1"/>
    <w:autoRedefine/>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6">
    <w:name w:val="※章节标题（第Z部分分项）"/>
    <w:basedOn w:val="25"/>
    <w:autoRedefine/>
    <w:qFormat/>
    <w:uiPriority w:val="0"/>
    <w:pPr>
      <w:outlineLvl w:val="2"/>
    </w:pPr>
  </w:style>
  <w:style w:type="paragraph" w:customStyle="1" w:styleId="27">
    <w:name w:val="※正文（落款）"/>
    <w:basedOn w:val="1"/>
    <w:autoRedefine/>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8">
    <w:name w:val="※正文（缩进2）"/>
    <w:basedOn w:val="17"/>
    <w:autoRedefine/>
    <w:qFormat/>
    <w:uiPriority w:val="0"/>
    <w:pPr>
      <w:ind w:firstLine="200" w:firstLineChars="200"/>
    </w:pPr>
  </w:style>
  <w:style w:type="paragraph" w:customStyle="1" w:styleId="29">
    <w:name w:val="※正文（缩进4）"/>
    <w:basedOn w:val="17"/>
    <w:autoRedefine/>
    <w:qFormat/>
    <w:uiPriority w:val="0"/>
    <w:pPr>
      <w:ind w:firstLine="400" w:firstLineChars="400"/>
    </w:pPr>
  </w:style>
  <w:style w:type="paragraph" w:customStyle="1" w:styleId="30">
    <w:name w:val="样式"/>
    <w:link w:val="3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1">
    <w:name w:val="样式 Char Char"/>
    <w:link w:val="30"/>
    <w:autoRedefine/>
    <w:qFormat/>
    <w:locked/>
    <w:uiPriority w:val="0"/>
    <w:rPr>
      <w:rFonts w:ascii="宋体" w:hAnsi="宋体" w:eastAsia="宋体" w:cs="宋体"/>
      <w:kern w:val="0"/>
      <w:sz w:val="24"/>
      <w:szCs w:val="24"/>
    </w:rPr>
  </w:style>
  <w:style w:type="character" w:customStyle="1" w:styleId="32">
    <w:name w:val="页眉 Char"/>
    <w:basedOn w:val="8"/>
    <w:link w:val="5"/>
    <w:autoRedefine/>
    <w:qFormat/>
    <w:uiPriority w:val="99"/>
    <w:rPr>
      <w:rFonts w:ascii="Calibri" w:hAnsi="Calibri" w:eastAsia="宋体" w:cs="Times New Roman"/>
      <w:sz w:val="18"/>
      <w:szCs w:val="18"/>
    </w:rPr>
  </w:style>
  <w:style w:type="character" w:customStyle="1" w:styleId="33">
    <w:name w:val="页脚 Char"/>
    <w:basedOn w:val="8"/>
    <w:link w:val="4"/>
    <w:autoRedefine/>
    <w:qFormat/>
    <w:uiPriority w:val="99"/>
    <w:rPr>
      <w:rFonts w:ascii="Calibri" w:hAnsi="Calibri" w:eastAsia="宋体" w:cs="Times New Roman"/>
      <w:sz w:val="18"/>
      <w:szCs w:val="18"/>
    </w:rPr>
  </w:style>
  <w:style w:type="character" w:customStyle="1" w:styleId="34">
    <w:name w:val="批注文字 Char"/>
    <w:basedOn w:val="8"/>
    <w:link w:val="2"/>
    <w:autoRedefine/>
    <w:semiHidden/>
    <w:qFormat/>
    <w:uiPriority w:val="99"/>
    <w:rPr>
      <w:rFonts w:ascii="Calibri" w:hAnsi="Calibri" w:eastAsia="宋体" w:cs="Times New Roman"/>
    </w:rPr>
  </w:style>
  <w:style w:type="character" w:customStyle="1" w:styleId="35">
    <w:name w:val="批注主题 Char"/>
    <w:basedOn w:val="34"/>
    <w:link w:val="6"/>
    <w:autoRedefine/>
    <w:semiHidden/>
    <w:qFormat/>
    <w:uiPriority w:val="99"/>
    <w:rPr>
      <w:rFonts w:ascii="Calibri" w:hAnsi="Calibri" w:eastAsia="宋体" w:cs="Times New Roman"/>
      <w:b/>
      <w:bCs/>
    </w:rPr>
  </w:style>
  <w:style w:type="character" w:customStyle="1" w:styleId="36">
    <w:name w:val="批注框文本 Char"/>
    <w:basedOn w:val="8"/>
    <w:link w:val="3"/>
    <w:autoRedefine/>
    <w:semiHidden/>
    <w:qFormat/>
    <w:uiPriority w:val="99"/>
    <w:rPr>
      <w:rFonts w:ascii="Calibri" w:hAnsi="Calibri" w:eastAsia="宋体" w:cs="Times New Roman"/>
      <w:sz w:val="18"/>
      <w:szCs w:val="18"/>
    </w:rPr>
  </w:style>
  <w:style w:type="paragraph" w:styleId="3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1674</Words>
  <Characters>1802</Characters>
  <Lines>30</Lines>
  <Paragraphs>8</Paragraphs>
  <TotalTime>2</TotalTime>
  <ScaleCrop>false</ScaleCrop>
  <LinksUpToDate>false</LinksUpToDate>
  <CharactersWithSpaces>1827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七</cp:lastModifiedBy>
  <cp:lastPrinted>2024-06-12T06:14:00Z</cp:lastPrinted>
  <dcterms:modified xsi:type="dcterms:W3CDTF">2024-08-07T03:37:43Z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8280FE20AA5C47E3869B215CA1F94268_12</vt:lpwstr>
  </property>
</Properties>
</file>