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版本号：SDZC2025-00820250120001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综合楼监控更换升级项目(二次)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SDZC2025-008</w:t>
      </w:r>
      <w:r>
        <w:br/>
      </w:r>
      <w:r>
        <w:br/>
      </w:r>
      <w:r>
        <w:br/>
      </w:r>
    </w:p>
    <w:p>
      <w:pPr>
        <w:pStyle w:val="null3"/>
        <w:jc w:val="center"/>
        <w:outlineLvl w:val="2"/>
      </w:pPr>
      <w:r>
        <w:rPr>
          <w:rFonts w:ascii="仿宋_GB2312" w:hAnsi="仿宋_GB2312" w:cs="仿宋_GB2312" w:eastAsia="仿宋_GB2312"/>
          <w:sz w:val="28"/>
          <w:b/>
        </w:rPr>
        <w:t>西安市阎良区人民医院</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西安市阎良区人民医院</w:t>
      </w:r>
      <w:r>
        <w:rPr>
          <w:rFonts w:ascii="仿宋_GB2312" w:hAnsi="仿宋_GB2312" w:cs="仿宋_GB2312" w:eastAsia="仿宋_GB2312"/>
        </w:rPr>
        <w:t>委托，拟对</w:t>
      </w:r>
      <w:r>
        <w:rPr>
          <w:rFonts w:ascii="仿宋_GB2312" w:hAnsi="仿宋_GB2312" w:cs="仿宋_GB2312" w:eastAsia="仿宋_GB2312"/>
        </w:rPr>
        <w:t>综合楼监控更换升级项目(二次)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综合楼监控更换升级项目(二次)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为了保障病人的生命财产和医护人员的个人人身安全，震慑和防范不法分子的扰乱、违法行为，构建独立的监控门禁网络，改善我院外网和监控门诊网络混用现状，提高我院网络安全和网络速度。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采购包1（综合楼监控更换升级项目）：属于专门面向中小企业采购。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1、提供投标人合法注册的法人或其他组织的营业执照等证明文件或自然人的身份证明：提供投标人合法注册的法人或其他组织的营业执照等证明文件或自然人的身份证明；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胜利街康复巷9号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15191481641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郅龙（17号工位）、张爱君、魏蕾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029-89293231转8017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采购包1：302,360.00元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服务费收费标准参照原《国家计委关于印发&lt;招标代理服务收费管理暂行办法&gt;的通知》(计价格〔2002〕1980号)、《国家发展改革委关于降低部分建设项目收费标准规范收费行为等有关问题的通知》(发改价格〔2011〕534号)规定执行。招标代理服务费应采用转账、刷卡、现金形式缴纳。2、汇款账户：1.开户行名称：陕西上德招标有限公司 2.开 户 行：西安银行股份有限公司文景路支行 3.账 号：707011510000013522 财务部联系方式：029-86673953、029-86518381、029-89299829、029-89293231 转8033 备注：投标人在汇款（招标代理服务费）时须注明项目编号+项目简称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西安市阎良区人民医院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医院请院内或院外专家，根据国家规范及合同要求范围，组织对项目进行验收。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联系人：郅龙（17号工位）</w:t>
      </w:r>
    </w:p>
    <w:p>
      <w:pPr>
        <w:pStyle w:val="null3"/>
      </w:pPr>
      <w:r>
        <w:rPr>
          <w:rFonts w:ascii="仿宋_GB2312" w:hAnsi="仿宋_GB2312" w:cs="仿宋_GB2312" w:eastAsia="仿宋_GB2312"/>
        </w:rPr>
        <w:t>联系电话：029-86673953、029-86518381、029-89299829、029-89293231转8017</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为了保障病人的生命财产和医护人员的个人人身安全，震慑和防范不法分子的扰乱、违法行为，构建独立的监控门禁网络，改善我院外网和监控门诊网络混用现状，提高我院网络安全和网络速度。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302,360.00</w:t>
      </w:r>
    </w:p>
    <w:p>
      <w:pPr>
        <w:pStyle w:val="null3"/>
      </w:pPr>
      <w:r>
        <w:rPr>
          <w:rFonts w:ascii="仿宋_GB2312" w:hAnsi="仿宋_GB2312" w:cs="仿宋_GB2312" w:eastAsia="仿宋_GB2312"/>
        </w:rPr>
        <w:t>采购包最高限价（元）: 302,360.00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302360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302,360.00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标的名称：302360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left="420"/>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监控系统是各个单位安防的重要组成部分，医院综合大楼内监控系统是在大楼建设时由施工方配置安装的，建成于2017年年初，采用早期的模拟监控技术，现经过7年使用多半摄像头、录像机、编码器和显示屏已损坏，无法正常使用，严重影响多项工作顺利开展，需予以更换升级。</w:t>
            </w:r>
          </w:p>
          <w:p>
            <w:pPr>
              <w:pStyle w:val="null3"/>
            </w:pPr>
            <w:r>
              <w:rPr>
                <w:rFonts w:ascii="仿宋_GB2312" w:hAnsi="仿宋_GB2312" w:cs="仿宋_GB2312" w:eastAsia="仿宋_GB2312"/>
              </w:rPr>
              <w:t>相关情况如下：</w:t>
            </w:r>
          </w:p>
          <w:p>
            <w:pPr>
              <w:pStyle w:val="null3"/>
            </w:pPr>
            <w:r>
              <w:rPr>
                <w:rFonts w:ascii="仿宋_GB2312" w:hAnsi="仿宋_GB2312" w:cs="仿宋_GB2312" w:eastAsia="仿宋_GB2312"/>
              </w:rPr>
              <w:t>1、原模拟监控系统已损坏无法正常使用，且老旧机型已被淘汰，市场无法采购旧机型和相配套配件。</w:t>
            </w:r>
          </w:p>
          <w:p>
            <w:pPr>
              <w:pStyle w:val="null3"/>
            </w:pPr>
            <w:r>
              <w:rPr>
                <w:rFonts w:ascii="仿宋_GB2312" w:hAnsi="仿宋_GB2312" w:cs="仿宋_GB2312" w:eastAsia="仿宋_GB2312"/>
              </w:rPr>
              <w:t>2、市场现在主流产品是高清数字监控系统，它具有更高的安全性、稳定性和技术成熟度；国产优质品牌众多，价格经济实惠。</w:t>
            </w:r>
          </w:p>
          <w:p>
            <w:pPr>
              <w:pStyle w:val="null3"/>
            </w:pPr>
            <w:r>
              <w:rPr>
                <w:rFonts w:ascii="仿宋_GB2312" w:hAnsi="仿宋_GB2312" w:cs="仿宋_GB2312" w:eastAsia="仿宋_GB2312"/>
              </w:rPr>
              <w:t>3、智慧医院、平安医院建设需求。为了保障病人的生命财产和医护人员的个人人身安全，震慑和防范不法分子的扰乱、违法行为，在院内构建监控系统势在必行。必须构建一套数字化的联网监控。</w:t>
            </w:r>
          </w:p>
          <w:p>
            <w:pPr>
              <w:pStyle w:val="null3"/>
            </w:pPr>
            <w:r>
              <w:rPr>
                <w:rFonts w:ascii="仿宋_GB2312" w:hAnsi="仿宋_GB2312" w:cs="仿宋_GB2312" w:eastAsia="仿宋_GB2312"/>
              </w:rPr>
              <w:t>4、构建独立的监控门禁网络，改善我院外网和监控门诊网络混用现状，提高我院网络安全和网络速度。</w:t>
            </w:r>
          </w:p>
          <w:p>
            <w:pPr>
              <w:pStyle w:val="null3"/>
            </w:pPr>
            <w:r>
              <w:rPr>
                <w:rFonts w:ascii="仿宋_GB2312" w:hAnsi="仿宋_GB2312" w:cs="仿宋_GB2312" w:eastAsia="仿宋_GB2312"/>
              </w:rPr>
              <w:t>构建一套区别与业务内网和智慧服务外网的独立监控门禁网络，在医院重点的、人流量大的、隐蔽的、易发生纠纷的部位安装适合的监控摄像头，通过监控室的展示大屏及时发现不安全事件苗头，尽早处理，并保存资料；影像资料保存35天，方便追溯调查。</w:t>
            </w:r>
          </w:p>
          <w:p>
            <w:pPr>
              <w:pStyle w:val="null3"/>
              <w:numPr>
                <w:ilvl w:val="0"/>
                <w:numId w:val="1"/>
              </w:numPr>
            </w:pPr>
            <w:r>
              <w:rPr>
                <w:rFonts w:ascii="仿宋_GB2312" w:hAnsi="仿宋_GB2312" w:cs="仿宋_GB2312" w:eastAsia="仿宋_GB2312"/>
              </w:rPr>
              <w:t>服务内容</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372"/>
              <w:gridCol w:w="372"/>
              <w:gridCol w:w="372"/>
              <w:gridCol w:w="372"/>
              <w:gridCol w:w="372"/>
            </w:tblGrid>
            <w:tr>
              <w:tc>
                <w:tcPr>
                  <w:tcW w:type="dxa" w:w="372"/>
                </w:tcPr>
                <w:p>
                  <w:pPr>
                    <w:pStyle w:val="null3"/>
                  </w:pPr>
                  <w:r>
                    <w:rPr>
                      <w:rFonts w:ascii="仿宋_GB2312" w:hAnsi="仿宋_GB2312" w:cs="仿宋_GB2312" w:eastAsia="仿宋_GB2312"/>
                    </w:rPr>
                    <w:t>序号</w:t>
                  </w:r>
                </w:p>
              </w:tc>
              <w:tc>
                <w:tcPr>
                  <w:tcW w:type="dxa" w:w="372"/>
                </w:tcPr>
                <w:p>
                  <w:pPr>
                    <w:pStyle w:val="null3"/>
                  </w:pPr>
                  <w:r>
                    <w:rPr>
                      <w:rFonts w:ascii="仿宋_GB2312" w:hAnsi="仿宋_GB2312" w:cs="仿宋_GB2312" w:eastAsia="仿宋_GB2312"/>
                    </w:rPr>
                    <w:t>类别</w:t>
                  </w:r>
                </w:p>
              </w:tc>
              <w:tc>
                <w:tcPr>
                  <w:tcW w:type="dxa" w:w="372"/>
                </w:tcPr>
                <w:p>
                  <w:pPr>
                    <w:pStyle w:val="null3"/>
                  </w:pPr>
                  <w:r>
                    <w:rPr>
                      <w:rFonts w:ascii="仿宋_GB2312" w:hAnsi="仿宋_GB2312" w:cs="仿宋_GB2312" w:eastAsia="仿宋_GB2312"/>
                    </w:rPr>
                    <w:t>服务内容</w:t>
                  </w:r>
                </w:p>
              </w:tc>
              <w:tc>
                <w:tcPr>
                  <w:tcW w:type="dxa" w:w="372"/>
                </w:tcPr>
                <w:p>
                  <w:pPr>
                    <w:pStyle w:val="null3"/>
                  </w:pPr>
                  <w:r>
                    <w:rPr>
                      <w:rFonts w:ascii="仿宋_GB2312" w:hAnsi="仿宋_GB2312" w:cs="仿宋_GB2312" w:eastAsia="仿宋_GB2312"/>
                    </w:rPr>
                    <w:t>描述</w:t>
                  </w:r>
                </w:p>
              </w:tc>
              <w:tc>
                <w:tcPr>
                  <w:tcW w:type="dxa" w:w="372"/>
                </w:tcPr>
                <w:p>
                  <w:pPr>
                    <w:pStyle w:val="null3"/>
                  </w:pPr>
                  <w:r>
                    <w:rPr>
                      <w:rFonts w:ascii="仿宋_GB2312" w:hAnsi="仿宋_GB2312" w:cs="仿宋_GB2312" w:eastAsia="仿宋_GB2312"/>
                    </w:rPr>
                    <w:t>数量</w:t>
                  </w:r>
                </w:p>
              </w:tc>
            </w:tr>
            <w:tr>
              <w:tc>
                <w:tcPr>
                  <w:tcW w:type="dxa" w:w="372"/>
                </w:tcPr>
                <w:p>
                  <w:pPr>
                    <w:pStyle w:val="null3"/>
                  </w:pPr>
                  <w:r>
                    <w:rPr>
                      <w:rFonts w:ascii="仿宋_GB2312" w:hAnsi="仿宋_GB2312" w:cs="仿宋_GB2312" w:eastAsia="仿宋_GB2312"/>
                    </w:rPr>
                    <w:t>1</w:t>
                  </w:r>
                </w:p>
              </w:tc>
              <w:tc>
                <w:tcPr>
                  <w:tcW w:type="dxa" w:w="372"/>
                </w:tcPr>
                <w:p>
                  <w:pPr>
                    <w:pStyle w:val="null3"/>
                  </w:pPr>
                  <w:r>
                    <w:rPr>
                      <w:rFonts w:ascii="仿宋_GB2312" w:hAnsi="仿宋_GB2312" w:cs="仿宋_GB2312" w:eastAsia="仿宋_GB2312"/>
                    </w:rPr>
                    <w:t>综合大楼外监控系统更换升级</w:t>
                  </w:r>
                </w:p>
              </w:tc>
              <w:tc>
                <w:tcPr>
                  <w:tcW w:type="dxa" w:w="372"/>
                </w:tcPr>
                <w:p>
                  <w:pPr>
                    <w:pStyle w:val="null3"/>
                  </w:pPr>
                  <w:r>
                    <w:rPr>
                      <w:rFonts w:ascii="仿宋_GB2312" w:hAnsi="仿宋_GB2312" w:cs="仿宋_GB2312" w:eastAsia="仿宋_GB2312"/>
                    </w:rPr>
                    <w:t>室外红外线球机</w:t>
                  </w:r>
                </w:p>
              </w:tc>
              <w:tc>
                <w:tcPr>
                  <w:tcW w:type="dxa" w:w="372"/>
                </w:tcPr>
                <w:p>
                  <w:pPr>
                    <w:pStyle w:val="null3"/>
                  </w:pPr>
                  <w:r>
                    <w:rPr>
                      <w:rFonts w:ascii="仿宋_GB2312" w:hAnsi="仿宋_GB2312" w:cs="仿宋_GB2312" w:eastAsia="仿宋_GB2312"/>
                    </w:rPr>
                    <w:t>带云台可旋转，红外夜视≧100m，防尘防水。</w:t>
                  </w:r>
                </w:p>
                <w:p>
                  <w:pPr>
                    <w:pStyle w:val="null3"/>
                  </w:pPr>
                  <w:r>
                    <w:rPr>
                      <w:rFonts w:ascii="仿宋_GB2312" w:hAnsi="仿宋_GB2312" w:cs="仿宋_GB2312" w:eastAsia="仿宋_GB2312"/>
                    </w:rPr>
                    <w:t>分辨率≧400万像素；云台旋转水平360°，垂直≥90°；人形检测，100米红外补光；编码规则:主码流H.265/H.264(子码流H.265/H.264/MJPEG);支持TCP/IP、HTTP、DHCP、NTP、IPv6、UDP等网络协议，带100M网络接口；支持WEB端浏览管理。</w:t>
                  </w:r>
                </w:p>
              </w:tc>
              <w:tc>
                <w:tcPr>
                  <w:tcW w:type="dxa" w:w="372"/>
                </w:tcPr>
                <w:p>
                  <w:pPr>
                    <w:pStyle w:val="null3"/>
                  </w:pPr>
                  <w:r>
                    <w:rPr>
                      <w:rFonts w:ascii="仿宋_GB2312" w:hAnsi="仿宋_GB2312" w:cs="仿宋_GB2312" w:eastAsia="仿宋_GB2312"/>
                    </w:rPr>
                    <w:t>3台</w:t>
                  </w:r>
                </w:p>
              </w:tc>
            </w:tr>
            <w:tr>
              <w:tc>
                <w:tcPr>
                  <w:tcW w:type="dxa" w:w="372"/>
                </w:tcPr>
                <w:p>
                  <w:pPr>
                    <w:pStyle w:val="null3"/>
                  </w:pPr>
                  <w:r>
                    <w:rPr>
                      <w:rFonts w:ascii="仿宋_GB2312" w:hAnsi="仿宋_GB2312" w:cs="仿宋_GB2312" w:eastAsia="仿宋_GB2312"/>
                    </w:rPr>
                    <w:t>2</w:t>
                  </w:r>
                </w:p>
              </w:tc>
              <w:tc>
                <w:tcPr>
                  <w:tcW w:type="dxa" w:w="372"/>
                </w:tcPr>
                <w:p>
                  <w:pPr>
                    <w:pStyle w:val="null3"/>
                  </w:pPr>
                  <w:r>
                    <w:rPr>
                      <w:rFonts w:ascii="仿宋_GB2312" w:hAnsi="仿宋_GB2312" w:cs="仿宋_GB2312" w:eastAsia="仿宋_GB2312"/>
                    </w:rPr>
                    <w:t>综合大楼内监控系统更换升级</w:t>
                  </w:r>
                </w:p>
              </w:tc>
              <w:tc>
                <w:tcPr>
                  <w:tcW w:type="dxa" w:w="372"/>
                </w:tcPr>
                <w:p>
                  <w:pPr>
                    <w:pStyle w:val="null3"/>
                  </w:pPr>
                  <w:r>
                    <w:rPr>
                      <w:rFonts w:ascii="仿宋_GB2312" w:hAnsi="仿宋_GB2312" w:cs="仿宋_GB2312" w:eastAsia="仿宋_GB2312"/>
                    </w:rPr>
                    <w:t>室内半球机（核心产品）</w:t>
                  </w:r>
                </w:p>
              </w:tc>
              <w:tc>
                <w:tcPr>
                  <w:tcW w:type="dxa" w:w="372"/>
                </w:tcPr>
                <w:p>
                  <w:pPr>
                    <w:pStyle w:val="null3"/>
                  </w:pPr>
                  <w:r>
                    <w:rPr>
                      <w:rFonts w:ascii="仿宋_GB2312" w:hAnsi="仿宋_GB2312" w:cs="仿宋_GB2312" w:eastAsia="仿宋_GB2312"/>
                    </w:rPr>
                    <w:t>分辨率≥400万像素；旋转水平360°，垂直≥75°；60 MB系统内存、400 MB智能内存、2 GB eMMC存储。支持1路报警输入，1路报警输出（报警输出最大支持DC24 V，1 A或AC24 V，1 A），1路音频输入，1路音频输出，30米红外补光；编码规则:主码流H.265/H.264(子码流H.265/H.264/MJPEG);支持TCP/IP、HTTP、DHCP、NTP、IPv6、UDP等网络协议，带100M网络接口；支持WEB端浏览管理。</w:t>
                  </w:r>
                </w:p>
              </w:tc>
              <w:tc>
                <w:tcPr>
                  <w:tcW w:type="dxa" w:w="372"/>
                </w:tcPr>
                <w:p>
                  <w:pPr>
                    <w:pStyle w:val="null3"/>
                  </w:pPr>
                  <w:r>
                    <w:rPr>
                      <w:rFonts w:ascii="仿宋_GB2312" w:hAnsi="仿宋_GB2312" w:cs="仿宋_GB2312" w:eastAsia="仿宋_GB2312"/>
                    </w:rPr>
                    <w:t>110台</w:t>
                  </w:r>
                </w:p>
              </w:tc>
            </w:tr>
            <w:tr>
              <w:tc>
                <w:tcPr>
                  <w:tcW w:type="dxa" w:w="372"/>
                  <w:vMerge w:val="restart"/>
                </w:tcPr>
                <w:p>
                  <w:pPr>
                    <w:pStyle w:val="null3"/>
                  </w:pPr>
                  <w:r>
                    <w:rPr>
                      <w:rFonts w:ascii="仿宋_GB2312" w:hAnsi="仿宋_GB2312" w:cs="仿宋_GB2312" w:eastAsia="仿宋_GB2312"/>
                    </w:rPr>
                    <w:t>3</w:t>
                  </w:r>
                </w:p>
              </w:tc>
              <w:tc>
                <w:tcPr>
                  <w:tcW w:type="dxa" w:w="372"/>
                  <w:vMerge w:val="restart"/>
                </w:tcPr>
                <w:p>
                  <w:pPr>
                    <w:pStyle w:val="null3"/>
                  </w:pPr>
                  <w:r>
                    <w:rPr>
                      <w:rFonts w:ascii="仿宋_GB2312" w:hAnsi="仿宋_GB2312" w:cs="仿宋_GB2312" w:eastAsia="仿宋_GB2312"/>
                    </w:rPr>
                    <w:t>监控室设备更换</w:t>
                  </w:r>
                </w:p>
              </w:tc>
              <w:tc>
                <w:tcPr>
                  <w:tcW w:type="dxa" w:w="372"/>
                </w:tcPr>
                <w:p>
                  <w:pPr>
                    <w:pStyle w:val="null3"/>
                  </w:pPr>
                  <w:r>
                    <w:rPr>
                      <w:rFonts w:ascii="仿宋_GB2312" w:hAnsi="仿宋_GB2312" w:cs="仿宋_GB2312" w:eastAsia="仿宋_GB2312"/>
                    </w:rPr>
                    <w:t>24口千兆网络交换机</w:t>
                  </w:r>
                </w:p>
              </w:tc>
              <w:tc>
                <w:tcPr>
                  <w:tcW w:type="dxa" w:w="372"/>
                </w:tcPr>
                <w:p>
                  <w:pPr>
                    <w:pStyle w:val="null3"/>
                  </w:pPr>
                  <w:r>
                    <w:rPr>
                      <w:rFonts w:ascii="仿宋_GB2312" w:hAnsi="仿宋_GB2312" w:cs="仿宋_GB2312" w:eastAsia="仿宋_GB2312"/>
                    </w:rPr>
                    <w:t>用于每楼层监控摄像头接入网络，含2、3、5、6号楼的监控接入。</w:t>
                  </w:r>
                </w:p>
                <w:p>
                  <w:pPr>
                    <w:pStyle w:val="null3"/>
                  </w:pPr>
                  <w:r>
                    <w:rPr>
                      <w:rFonts w:ascii="仿宋_GB2312" w:hAnsi="仿宋_GB2312" w:cs="仿宋_GB2312" w:eastAsia="仿宋_GB2312"/>
                    </w:rPr>
                    <w:t>1、下行端口24个10/100/1000Base-T以太网端口，上行端口2个干兆SFP。</w:t>
                  </w:r>
                </w:p>
                <w:p>
                  <w:pPr>
                    <w:pStyle w:val="null3"/>
                  </w:pPr>
                  <w:r>
                    <w:rPr>
                      <w:rFonts w:ascii="仿宋_GB2312" w:hAnsi="仿宋_GB2312" w:cs="仿宋_GB2312" w:eastAsia="仿宋_GB2312"/>
                    </w:rPr>
                    <w:t>2、交换容量52Gbps,包转发率38.69Mpps.</w:t>
                  </w:r>
                </w:p>
                <w:p>
                  <w:pPr>
                    <w:pStyle w:val="null3"/>
                  </w:pPr>
                  <w:r>
                    <w:rPr>
                      <w:rFonts w:ascii="仿宋_GB2312" w:hAnsi="仿宋_GB2312" w:cs="仿宋_GB2312" w:eastAsia="仿宋_GB2312"/>
                    </w:rPr>
                    <w:t>3、MAC地址表8K MAC</w:t>
                  </w:r>
                </w:p>
              </w:tc>
              <w:tc>
                <w:tcPr>
                  <w:tcW w:type="dxa" w:w="372"/>
                </w:tcPr>
                <w:p>
                  <w:pPr>
                    <w:pStyle w:val="null3"/>
                  </w:pPr>
                  <w:r>
                    <w:rPr>
                      <w:rFonts w:ascii="仿宋_GB2312" w:hAnsi="仿宋_GB2312" w:cs="仿宋_GB2312" w:eastAsia="仿宋_GB2312"/>
                    </w:rPr>
                    <w:t>20台</w:t>
                  </w:r>
                </w:p>
              </w:tc>
            </w:tr>
            <w:tr>
              <w:tc>
                <w:tcPr>
                  <w:tcW w:type="dxa" w:w="372"/>
                  <w:vMerge/>
                </w:tcPr>
                <w:p/>
              </w:tc>
              <w:tc>
                <w:tcPr>
                  <w:tcW w:type="dxa" w:w="372"/>
                  <w:vMerge/>
                </w:tcPr>
                <w:p/>
              </w:tc>
              <w:tc>
                <w:tcPr>
                  <w:tcW w:type="dxa" w:w="372"/>
                </w:tcPr>
                <w:p>
                  <w:pPr>
                    <w:pStyle w:val="null3"/>
                  </w:pPr>
                  <w:r>
                    <w:rPr>
                      <w:rFonts w:ascii="仿宋_GB2312" w:hAnsi="仿宋_GB2312" w:cs="仿宋_GB2312" w:eastAsia="仿宋_GB2312"/>
                    </w:rPr>
                    <w:t>48口千兆网络交换机</w:t>
                  </w:r>
                </w:p>
              </w:tc>
              <w:tc>
                <w:tcPr>
                  <w:tcW w:type="dxa" w:w="372"/>
                </w:tcPr>
                <w:p>
                  <w:pPr>
                    <w:pStyle w:val="null3"/>
                  </w:pPr>
                  <w:r>
                    <w:rPr>
                      <w:rFonts w:ascii="仿宋_GB2312" w:hAnsi="仿宋_GB2312" w:cs="仿宋_GB2312" w:eastAsia="仿宋_GB2312"/>
                    </w:rPr>
                    <w:t>用于监控室设备和部分原有摄像头接入。</w:t>
                  </w:r>
                </w:p>
                <w:p>
                  <w:pPr>
                    <w:pStyle w:val="null3"/>
                  </w:pPr>
                  <w:r>
                    <w:rPr>
                      <w:rFonts w:ascii="仿宋_GB2312" w:hAnsi="仿宋_GB2312" w:cs="仿宋_GB2312" w:eastAsia="仿宋_GB2312"/>
                    </w:rPr>
                    <w:t>1、端口48个10/100/1000Base-T以太网端口4个干兆SFP</w:t>
                  </w:r>
                </w:p>
                <w:p>
                  <w:pPr>
                    <w:pStyle w:val="null3"/>
                  </w:pPr>
                  <w:r>
                    <w:rPr>
                      <w:rFonts w:ascii="仿宋_GB2312" w:hAnsi="仿宋_GB2312" w:cs="仿宋_GB2312" w:eastAsia="仿宋_GB2312"/>
                    </w:rPr>
                    <w:t>2、交换容量432Gbps/4.32Tbps，包转发率87/166Mpps。</w:t>
                  </w:r>
                </w:p>
                <w:p>
                  <w:pPr>
                    <w:pStyle w:val="null3"/>
                  </w:pPr>
                  <w:r>
                    <w:rPr>
                      <w:rFonts w:ascii="仿宋_GB2312" w:hAnsi="仿宋_GB2312" w:cs="仿宋_GB2312" w:eastAsia="仿宋_GB2312"/>
                    </w:rPr>
                    <w:t>3、MAC地址表16K。</w:t>
                  </w:r>
                </w:p>
              </w:tc>
              <w:tc>
                <w:tcPr>
                  <w:tcW w:type="dxa" w:w="372"/>
                </w:tcPr>
                <w:p>
                  <w:pPr>
                    <w:pStyle w:val="null3"/>
                  </w:pPr>
                  <w:r>
                    <w:rPr>
                      <w:rFonts w:ascii="仿宋_GB2312" w:hAnsi="仿宋_GB2312" w:cs="仿宋_GB2312" w:eastAsia="仿宋_GB2312"/>
                    </w:rPr>
                    <w:t>3台</w:t>
                  </w:r>
                </w:p>
              </w:tc>
            </w:tr>
            <w:tr>
              <w:tc>
                <w:tcPr>
                  <w:tcW w:type="dxa" w:w="372"/>
                  <w:vMerge/>
                </w:tcPr>
                <w:p/>
              </w:tc>
              <w:tc>
                <w:tcPr>
                  <w:tcW w:type="dxa" w:w="372"/>
                  <w:vMerge/>
                </w:tcPr>
                <w:p/>
              </w:tc>
              <w:tc>
                <w:tcPr>
                  <w:tcW w:type="dxa" w:w="372"/>
                </w:tcPr>
                <w:p>
                  <w:pPr>
                    <w:pStyle w:val="null3"/>
                  </w:pPr>
                  <w:r>
                    <w:rPr>
                      <w:rFonts w:ascii="仿宋_GB2312" w:hAnsi="仿宋_GB2312" w:cs="仿宋_GB2312" w:eastAsia="仿宋_GB2312"/>
                    </w:rPr>
                    <w:t>监控硬盘录像机</w:t>
                  </w:r>
                </w:p>
              </w:tc>
              <w:tc>
                <w:tcPr>
                  <w:tcW w:type="dxa" w:w="372"/>
                </w:tcPr>
                <w:p>
                  <w:pPr>
                    <w:pStyle w:val="null3"/>
                  </w:pPr>
                  <w:r>
                    <w:rPr>
                      <w:rFonts w:ascii="仿宋_GB2312" w:hAnsi="仿宋_GB2312" w:cs="仿宋_GB2312" w:eastAsia="仿宋_GB2312"/>
                    </w:rPr>
                    <w:t>对摄像头画面24小时录像存盘，可保存35天左右录像。</w:t>
                  </w:r>
                </w:p>
                <w:p>
                  <w:pPr>
                    <w:pStyle w:val="null3"/>
                  </w:pPr>
                  <w:r>
                    <w:rPr>
                      <w:rFonts w:ascii="仿宋_GB2312" w:hAnsi="仿宋_GB2312" w:cs="仿宋_GB2312" w:eastAsia="仿宋_GB2312"/>
                    </w:rPr>
                    <w:t>1、64路高清机型，单机硬盘存储容量≥80TB。</w:t>
                  </w:r>
                </w:p>
                <w:p>
                  <w:pPr>
                    <w:pStyle w:val="null3"/>
                  </w:pPr>
                  <w:r>
                    <w:rPr>
                      <w:rFonts w:ascii="仿宋_GB2312" w:hAnsi="仿宋_GB2312" w:cs="仿宋_GB2312" w:eastAsia="仿宋_GB2312"/>
                    </w:rPr>
                    <w:t>2、网络输入输出带宽≥256Mbps。</w:t>
                  </w:r>
                </w:p>
                <w:p>
                  <w:pPr>
                    <w:pStyle w:val="null3"/>
                  </w:pPr>
                  <w:r>
                    <w:rPr>
                      <w:rFonts w:ascii="仿宋_GB2312" w:hAnsi="仿宋_GB2312" w:cs="仿宋_GB2312" w:eastAsia="仿宋_GB2312"/>
                    </w:rPr>
                    <w:t>3、录像分辨率支持12MP/8MP/7MP/6MP/5MP/4MP/3MP/1080P/UXGA/720P/VGA等格式。</w:t>
                  </w:r>
                </w:p>
                <w:p>
                  <w:pPr>
                    <w:pStyle w:val="null3"/>
                  </w:pPr>
                  <w:r>
                    <w:rPr>
                      <w:rFonts w:ascii="仿宋_GB2312" w:hAnsi="仿宋_GB2312" w:cs="仿宋_GB2312" w:eastAsia="仿宋_GB2312"/>
                    </w:rPr>
                    <w:t xml:space="preserve">4、输出2路HDMI，1路VGA，支持HDMI1与VGA1同源，主辅口独立异源；输出分辨率≥1080P(1920x1080)/60HZ。 </w:t>
                  </w:r>
                </w:p>
                <w:p>
                  <w:pPr>
                    <w:pStyle w:val="null3"/>
                  </w:pPr>
                  <w:r>
                    <w:rPr>
                      <w:rFonts w:ascii="仿宋_GB2312" w:hAnsi="仿宋_GB2312" w:cs="仿宋_GB2312" w:eastAsia="仿宋_GB2312"/>
                    </w:rPr>
                    <w:t>5、视频解码格式支持H.265,H.264,SVAC,MPEG4,MJPEG,H.264+和H.265+等。16路1080p解码，16路同步回放。</w:t>
                  </w:r>
                </w:p>
                <w:p>
                  <w:pPr>
                    <w:pStyle w:val="null3"/>
                  </w:pPr>
                  <w:r>
                    <w:rPr>
                      <w:rFonts w:ascii="仿宋_GB2312" w:hAnsi="仿宋_GB2312" w:cs="仿宋_GB2312" w:eastAsia="仿宋_GB2312"/>
                    </w:rPr>
                    <w:t>6、音频解码格式支持G.711ulaw,6.711alaw,6.722,6.726,AAC,MP2L2,PCM，支持音频RCA接口输入和输出。</w:t>
                  </w:r>
                </w:p>
                <w:p>
                  <w:pPr>
                    <w:pStyle w:val="null3"/>
                  </w:pPr>
                  <w:r>
                    <w:rPr>
                      <w:rFonts w:ascii="仿宋_GB2312" w:hAnsi="仿宋_GB2312" w:cs="仿宋_GB2312" w:eastAsia="仿宋_GB2312"/>
                    </w:rPr>
                    <w:t>7、支持16个SATA接口(前置热插发)，支持单盘容量≥8TB.</w:t>
                  </w:r>
                </w:p>
                <w:p>
                  <w:pPr>
                    <w:pStyle w:val="null3"/>
                  </w:pPr>
                  <w:r>
                    <w:rPr>
                      <w:rFonts w:ascii="仿宋_GB2312" w:hAnsi="仿宋_GB2312" w:cs="仿宋_GB2312" w:eastAsia="仿宋_GB2312"/>
                    </w:rPr>
                    <w:t>8、网络RJ45接口≥2，支持IPV6, HTTPS, UPnP, SNMP, NTP, SADP, SMTP, NFS, ISCSI, PPPOE, DDNS等网络协议；远程连接数≥128。</w:t>
                  </w:r>
                </w:p>
              </w:tc>
              <w:tc>
                <w:tcPr>
                  <w:tcW w:type="dxa" w:w="372"/>
                </w:tcPr>
                <w:p>
                  <w:pPr>
                    <w:pStyle w:val="null3"/>
                  </w:pPr>
                  <w:r>
                    <w:rPr>
                      <w:rFonts w:ascii="仿宋_GB2312" w:hAnsi="仿宋_GB2312" w:cs="仿宋_GB2312" w:eastAsia="仿宋_GB2312"/>
                    </w:rPr>
                    <w:t>3台</w:t>
                  </w:r>
                </w:p>
              </w:tc>
            </w:tr>
            <w:tr>
              <w:tc>
                <w:tcPr>
                  <w:tcW w:type="dxa" w:w="372"/>
                  <w:vMerge/>
                </w:tcPr>
                <w:p/>
              </w:tc>
              <w:tc>
                <w:tcPr>
                  <w:tcW w:type="dxa" w:w="372"/>
                  <w:vMerge/>
                </w:tcPr>
                <w:p/>
              </w:tc>
              <w:tc>
                <w:tcPr>
                  <w:tcW w:type="dxa" w:w="372"/>
                </w:tcPr>
                <w:p>
                  <w:pPr>
                    <w:pStyle w:val="null3"/>
                  </w:pPr>
                  <w:r>
                    <w:rPr>
                      <w:rFonts w:ascii="仿宋_GB2312" w:hAnsi="仿宋_GB2312" w:cs="仿宋_GB2312" w:eastAsia="仿宋_GB2312"/>
                    </w:rPr>
                    <w:t>高清解码器</w:t>
                  </w:r>
                </w:p>
              </w:tc>
              <w:tc>
                <w:tcPr>
                  <w:tcW w:type="dxa" w:w="372"/>
                </w:tcPr>
                <w:p>
                  <w:pPr>
                    <w:pStyle w:val="null3"/>
                  </w:pPr>
                  <w:r>
                    <w:rPr>
                      <w:rFonts w:ascii="仿宋_GB2312" w:hAnsi="仿宋_GB2312" w:cs="仿宋_GB2312" w:eastAsia="仿宋_GB2312"/>
                    </w:rPr>
                    <w:t>1、输入1路VGA,1路DVI，支持分辨率1080P:1920x1080@50/60Hz和720P:1280x720@50V60 Hz。</w:t>
                  </w:r>
                </w:p>
                <w:p>
                  <w:pPr>
                    <w:pStyle w:val="null3"/>
                  </w:pPr>
                  <w:r>
                    <w:rPr>
                      <w:rFonts w:ascii="仿宋_GB2312" w:hAnsi="仿宋_GB2312" w:cs="仿宋_GB2312" w:eastAsia="仿宋_GB2312"/>
                    </w:rPr>
                    <w:t>2、输出8路HDML4路BNC，支持分辨率HDMI:1080p:1920x1080@60/50 Hz,720p:1280 x720@50 Hz/60 Hz</w:t>
                  </w:r>
                </w:p>
                <w:p>
                  <w:pPr>
                    <w:pStyle w:val="null3"/>
                  </w:pPr>
                  <w:r>
                    <w:rPr>
                      <w:rFonts w:ascii="仿宋_GB2312" w:hAnsi="仿宋_GB2312" w:cs="仿宋_GB2312" w:eastAsia="仿宋_GB2312"/>
                    </w:rPr>
                    <w:t>BNC:PAL制元:704x576,NTSC制式:704x480。</w:t>
                  </w:r>
                </w:p>
                <w:p>
                  <w:pPr>
                    <w:pStyle w:val="null3"/>
                  </w:pPr>
                  <w:r>
                    <w:rPr>
                      <w:rFonts w:ascii="仿宋_GB2312" w:hAnsi="仿宋_GB2312" w:cs="仿宋_GB2312" w:eastAsia="仿宋_GB2312"/>
                    </w:rPr>
                    <w:t>3、解码参数，最高2400W像素，≥64解码通道，支持1/2/4/6/8/9/12/16/25/36画面分割，支持4路2400W,或8路1200W,或16路800W,或24路500W,或40路300W,或64 路1080P 及以下分辨率同时实时解码。</w:t>
                  </w:r>
                </w:p>
                <w:p>
                  <w:pPr>
                    <w:pStyle w:val="null3"/>
                  </w:pPr>
                  <w:r>
                    <w:rPr>
                      <w:rFonts w:ascii="仿宋_GB2312" w:hAnsi="仿宋_GB2312" w:cs="仿宋_GB2312" w:eastAsia="仿宋_GB2312"/>
                    </w:rPr>
                    <w:t>4、网络接口，≥2个 RI45 10M/100M/1000Mbps 自活应以太网接口，≥2个光口 100base-FX/1000base-X，支持光电自活应。</w:t>
                  </w:r>
                </w:p>
                <w:p>
                  <w:pPr>
                    <w:pStyle w:val="null3"/>
                  </w:pPr>
                  <w:r>
                    <w:rPr>
                      <w:rFonts w:ascii="仿宋_GB2312" w:hAnsi="仿宋_GB2312" w:cs="仿宋_GB2312" w:eastAsia="仿宋_GB2312"/>
                    </w:rPr>
                    <w:t>音频接口，1个3.5mm音频输入接口，8个3.5mm接口独立音频输出，1个3.5mm语音对讲口，</w:t>
                  </w:r>
                </w:p>
                <w:p>
                  <w:pPr>
                    <w:pStyle w:val="null3"/>
                  </w:pPr>
                  <w:r>
                    <w:rPr>
                      <w:rFonts w:ascii="仿宋_GB2312" w:hAnsi="仿宋_GB2312" w:cs="仿宋_GB2312" w:eastAsia="仿宋_GB2312"/>
                    </w:rPr>
                    <w:t>报警输入输出口各自≥8个。</w:t>
                  </w:r>
                </w:p>
              </w:tc>
              <w:tc>
                <w:tcPr>
                  <w:tcW w:type="dxa" w:w="372"/>
                </w:tcPr>
                <w:p>
                  <w:pPr>
                    <w:pStyle w:val="null3"/>
                  </w:pPr>
                  <w:r>
                    <w:rPr>
                      <w:rFonts w:ascii="仿宋_GB2312" w:hAnsi="仿宋_GB2312" w:cs="仿宋_GB2312" w:eastAsia="仿宋_GB2312"/>
                    </w:rPr>
                    <w:t>2台</w:t>
                  </w:r>
                </w:p>
              </w:tc>
            </w:tr>
            <w:tr>
              <w:tc>
                <w:tcPr>
                  <w:tcW w:type="dxa" w:w="372"/>
                  <w:vMerge/>
                </w:tcPr>
                <w:p/>
              </w:tc>
              <w:tc>
                <w:tcPr>
                  <w:tcW w:type="dxa" w:w="372"/>
                  <w:vMerge/>
                </w:tcPr>
                <w:p/>
              </w:tc>
              <w:tc>
                <w:tcPr>
                  <w:tcW w:type="dxa" w:w="372"/>
                </w:tcPr>
                <w:p>
                  <w:pPr>
                    <w:pStyle w:val="null3"/>
                  </w:pPr>
                  <w:r>
                    <w:rPr>
                      <w:rFonts w:ascii="仿宋_GB2312" w:hAnsi="仿宋_GB2312" w:cs="仿宋_GB2312" w:eastAsia="仿宋_GB2312"/>
                    </w:rPr>
                    <w:t>显示器</w:t>
                  </w:r>
                </w:p>
              </w:tc>
              <w:tc>
                <w:tcPr>
                  <w:tcW w:type="dxa" w:w="372"/>
                </w:tcPr>
                <w:p>
                  <w:pPr>
                    <w:pStyle w:val="null3"/>
                  </w:pPr>
                  <w:r>
                    <w:rPr>
                      <w:rFonts w:ascii="仿宋_GB2312" w:hAnsi="仿宋_GB2312" w:cs="仿宋_GB2312" w:eastAsia="仿宋_GB2312"/>
                    </w:rPr>
                    <w:t>1、屏幕尺寸≥55英寸LED屏，</w:t>
                  </w:r>
                </w:p>
                <w:p>
                  <w:pPr>
                    <w:pStyle w:val="null3"/>
                  </w:pPr>
                  <w:r>
                    <w:rPr>
                      <w:rFonts w:ascii="仿宋_GB2312" w:hAnsi="仿宋_GB2312" w:cs="仿宋_GB2312" w:eastAsia="仿宋_GB2312"/>
                    </w:rPr>
                    <w:t>支持3840*2160@60Hz超高清显示</w:t>
                  </w:r>
                </w:p>
                <w:p>
                  <w:pPr>
                    <w:pStyle w:val="null3"/>
                  </w:pPr>
                  <w:r>
                    <w:rPr>
                      <w:rFonts w:ascii="仿宋_GB2312" w:hAnsi="仿宋_GB2312" w:cs="仿宋_GB2312" w:eastAsia="仿宋_GB2312"/>
                    </w:rPr>
                    <w:t>2、超高清4K分辨率，低蓝光护眼认证。</w:t>
                  </w:r>
                </w:p>
              </w:tc>
              <w:tc>
                <w:tcPr>
                  <w:tcW w:type="dxa" w:w="372"/>
                </w:tcPr>
                <w:p>
                  <w:pPr>
                    <w:pStyle w:val="null3"/>
                  </w:pPr>
                  <w:r>
                    <w:rPr>
                      <w:rFonts w:ascii="仿宋_GB2312" w:hAnsi="仿宋_GB2312" w:cs="仿宋_GB2312" w:eastAsia="仿宋_GB2312"/>
                    </w:rPr>
                    <w:t>9台</w:t>
                  </w:r>
                </w:p>
              </w:tc>
            </w:tr>
            <w:tr>
              <w:tc>
                <w:tcPr>
                  <w:tcW w:type="dxa" w:w="372"/>
                  <w:vMerge/>
                </w:tcPr>
                <w:p/>
              </w:tc>
              <w:tc>
                <w:tcPr>
                  <w:tcW w:type="dxa" w:w="372"/>
                  <w:vMerge/>
                </w:tcPr>
                <w:p/>
              </w:tc>
              <w:tc>
                <w:tcPr>
                  <w:tcW w:type="dxa" w:w="372"/>
                </w:tcPr>
                <w:p>
                  <w:pPr>
                    <w:pStyle w:val="null3"/>
                  </w:pPr>
                  <w:r>
                    <w:rPr>
                      <w:rFonts w:ascii="仿宋_GB2312" w:hAnsi="仿宋_GB2312" w:cs="仿宋_GB2312" w:eastAsia="仿宋_GB2312"/>
                    </w:rPr>
                    <w:t>管理电脑一体机</w:t>
                  </w:r>
                </w:p>
              </w:tc>
              <w:tc>
                <w:tcPr>
                  <w:tcW w:type="dxa" w:w="372"/>
                </w:tcPr>
                <w:p>
                  <w:pPr>
                    <w:pStyle w:val="null3"/>
                  </w:pPr>
                  <w:r>
                    <w:rPr>
                      <w:rFonts w:ascii="仿宋_GB2312" w:hAnsi="仿宋_GB2312" w:cs="仿宋_GB2312" w:eastAsia="仿宋_GB2312"/>
                    </w:rPr>
                    <w:t>用于监控室日常监控画面调整和调取导出。</w:t>
                  </w:r>
                </w:p>
                <w:p>
                  <w:pPr>
                    <w:pStyle w:val="null3"/>
                  </w:pPr>
                  <w:r>
                    <w:rPr>
                      <w:rFonts w:ascii="仿宋_GB2312" w:hAnsi="仿宋_GB2312" w:cs="仿宋_GB2312" w:eastAsia="仿宋_GB2312"/>
                    </w:rPr>
                    <w:t>CPU型号i5-1335U以上，核心数≥10核；内存≥16G；硬盘≥512G/SSD;显示器≥23.8英寸，分辨率≥1920*1080；USB接口数≥4,usb3.0；外观黑色。</w:t>
                  </w:r>
                </w:p>
              </w:tc>
              <w:tc>
                <w:tcPr>
                  <w:tcW w:type="dxa" w:w="372"/>
                </w:tcPr>
                <w:p>
                  <w:pPr>
                    <w:pStyle w:val="null3"/>
                  </w:pPr>
                  <w:r>
                    <w:rPr>
                      <w:rFonts w:ascii="仿宋_GB2312" w:hAnsi="仿宋_GB2312" w:cs="仿宋_GB2312" w:eastAsia="仿宋_GB2312"/>
                    </w:rPr>
                    <w:t>2台</w:t>
                  </w:r>
                </w:p>
              </w:tc>
            </w:tr>
            <w:tr>
              <w:tc>
                <w:tcPr>
                  <w:tcW w:type="dxa" w:w="372"/>
                  <w:vMerge/>
                </w:tcPr>
                <w:p/>
              </w:tc>
              <w:tc>
                <w:tcPr>
                  <w:tcW w:type="dxa" w:w="372"/>
                  <w:vMerge/>
                </w:tcPr>
                <w:p/>
              </w:tc>
              <w:tc>
                <w:tcPr>
                  <w:tcW w:type="dxa" w:w="372"/>
                </w:tcPr>
                <w:p>
                  <w:pPr>
                    <w:pStyle w:val="null3"/>
                  </w:pPr>
                  <w:r>
                    <w:rPr>
                      <w:rFonts w:ascii="仿宋_GB2312" w:hAnsi="仿宋_GB2312" w:cs="仿宋_GB2312" w:eastAsia="仿宋_GB2312"/>
                    </w:rPr>
                    <w:t>网络机柜</w:t>
                  </w:r>
                </w:p>
              </w:tc>
              <w:tc>
                <w:tcPr>
                  <w:tcW w:type="dxa" w:w="372"/>
                </w:tcPr>
                <w:p>
                  <w:pPr>
                    <w:pStyle w:val="null3"/>
                  </w:pPr>
                  <w:r>
                    <w:rPr>
                      <w:rFonts w:ascii="仿宋_GB2312" w:hAnsi="仿宋_GB2312" w:cs="仿宋_GB2312" w:eastAsia="仿宋_GB2312"/>
                    </w:rPr>
                    <w:t>监控室设备安装容纳。</w:t>
                  </w:r>
                </w:p>
                <w:p>
                  <w:pPr>
                    <w:pStyle w:val="null3"/>
                  </w:pPr>
                  <w:r>
                    <w:rPr>
                      <w:rFonts w:ascii="仿宋_GB2312" w:hAnsi="仿宋_GB2312" w:cs="仿宋_GB2312" w:eastAsia="仿宋_GB2312"/>
                    </w:rPr>
                    <w:t>根据显示屏安装完毕后剩余空间定制设备安装机柜。</w:t>
                  </w:r>
                </w:p>
              </w:tc>
              <w:tc>
                <w:tcPr>
                  <w:tcW w:type="dxa" w:w="372"/>
                </w:tcPr>
                <w:p>
                  <w:pPr>
                    <w:pStyle w:val="null3"/>
                  </w:pPr>
                  <w:r>
                    <w:rPr>
                      <w:rFonts w:ascii="仿宋_GB2312" w:hAnsi="仿宋_GB2312" w:cs="仿宋_GB2312" w:eastAsia="仿宋_GB2312"/>
                    </w:rPr>
                    <w:t>1批</w:t>
                  </w:r>
                </w:p>
              </w:tc>
            </w:tr>
            <w:tr>
              <w:tc>
                <w:tcPr>
                  <w:tcW w:type="dxa" w:w="372"/>
                </w:tcPr>
                <w:p>
                  <w:pPr>
                    <w:pStyle w:val="null3"/>
                  </w:pPr>
                  <w:r>
                    <w:rPr>
                      <w:rFonts w:ascii="仿宋_GB2312" w:hAnsi="仿宋_GB2312" w:cs="仿宋_GB2312" w:eastAsia="仿宋_GB2312"/>
                    </w:rPr>
                    <w:t>4</w:t>
                  </w:r>
                </w:p>
              </w:tc>
              <w:tc>
                <w:tcPr>
                  <w:tcW w:type="dxa" w:w="372"/>
                </w:tcPr>
                <w:p>
                  <w:pPr>
                    <w:pStyle w:val="null3"/>
                  </w:pPr>
                  <w:r>
                    <w:rPr>
                      <w:rFonts w:ascii="仿宋_GB2312" w:hAnsi="仿宋_GB2312" w:cs="仿宋_GB2312" w:eastAsia="仿宋_GB2312"/>
                    </w:rPr>
                    <w:t>后期维护</w:t>
                  </w:r>
                </w:p>
              </w:tc>
              <w:tc>
                <w:tcPr>
                  <w:tcW w:type="dxa" w:w="372"/>
                </w:tcPr>
                <w:p>
                  <w:pPr>
                    <w:pStyle w:val="null3"/>
                  </w:pPr>
                  <w:r>
                    <w:rPr>
                      <w:rFonts w:ascii="仿宋_GB2312" w:hAnsi="仿宋_GB2312" w:cs="仿宋_GB2312" w:eastAsia="仿宋_GB2312"/>
                    </w:rPr>
                    <w:t>系统</w:t>
                  </w:r>
                </w:p>
              </w:tc>
              <w:tc>
                <w:tcPr>
                  <w:tcW w:type="dxa" w:w="372"/>
                </w:tcPr>
                <w:p>
                  <w:pPr>
                    <w:pStyle w:val="null3"/>
                  </w:pPr>
                  <w:r>
                    <w:rPr>
                      <w:rFonts w:ascii="仿宋_GB2312" w:hAnsi="仿宋_GB2312" w:cs="仿宋_GB2312" w:eastAsia="仿宋_GB2312"/>
                    </w:rPr>
                    <w:t>每年进行一次设备的除尘，清理，扫净监控设备显露的尘土，对摄像机，防护罩等不见要卸下彻底吹风除尘，之后用无水酒精棉将各个镜头擦干净，调整清晰度，防止由于机器运转.静电等因素将尘土吸入监控设备机体内，确保机器正常运行。同时检查监控机房通风，散热，净尘，供电等设施。对安防监控系统设备的运行情况进行监控，分析运行情况，及时发现并排除故障，半年向医院提交一份系统运行状态及维保记录。根据监控系统经常出现的情况或者有可能出现的地方及时提出日常维护和日常使用建议。</w:t>
                  </w:r>
                </w:p>
              </w:tc>
              <w:tc>
                <w:tcPr>
                  <w:tcW w:type="dxa" w:w="372"/>
                </w:tcPr>
                <w:p>
                  <w:pPr>
                    <w:pStyle w:val="null3"/>
                  </w:pPr>
                  <w:r>
                    <w:rPr>
                      <w:rFonts w:ascii="仿宋_GB2312" w:hAnsi="仿宋_GB2312" w:cs="仿宋_GB2312" w:eastAsia="仿宋_GB2312"/>
                    </w:rPr>
                    <w:t xml:space="preserve"> </w:t>
                  </w:r>
                </w:p>
              </w:tc>
            </w:tr>
            <w:tr>
              <w:tc>
                <w:tcPr>
                  <w:tcW w:type="dxa" w:w="372"/>
                </w:tcPr>
                <w:p>
                  <w:pPr>
                    <w:pStyle w:val="null3"/>
                  </w:pPr>
                  <w:r>
                    <w:rPr>
                      <w:rFonts w:ascii="仿宋_GB2312" w:hAnsi="仿宋_GB2312" w:cs="仿宋_GB2312" w:eastAsia="仿宋_GB2312"/>
                    </w:rPr>
                    <w:t>5</w:t>
                  </w:r>
                </w:p>
              </w:tc>
              <w:tc>
                <w:tcPr>
                  <w:tcW w:type="dxa" w:w="372"/>
                </w:tcPr>
                <w:p>
                  <w:pPr>
                    <w:pStyle w:val="null3"/>
                  </w:pPr>
                  <w:r>
                    <w:rPr>
                      <w:rFonts w:ascii="仿宋_GB2312" w:hAnsi="仿宋_GB2312" w:cs="仿宋_GB2312" w:eastAsia="仿宋_GB2312"/>
                    </w:rPr>
                    <w:t>巡检服务</w:t>
                  </w:r>
                </w:p>
              </w:tc>
              <w:tc>
                <w:tcPr>
                  <w:tcW w:type="dxa" w:w="372"/>
                </w:tcPr>
                <w:p>
                  <w:pPr>
                    <w:pStyle w:val="null3"/>
                  </w:pPr>
                  <w:r>
                    <w:rPr>
                      <w:rFonts w:ascii="仿宋_GB2312" w:hAnsi="仿宋_GB2312" w:cs="仿宋_GB2312" w:eastAsia="仿宋_GB2312"/>
                    </w:rPr>
                    <w:t xml:space="preserve"> </w:t>
                  </w:r>
                </w:p>
              </w:tc>
              <w:tc>
                <w:tcPr>
                  <w:tcW w:type="dxa" w:w="372"/>
                </w:tcPr>
                <w:p>
                  <w:pPr>
                    <w:pStyle w:val="null3"/>
                  </w:pPr>
                  <w:r>
                    <w:rPr>
                      <w:rFonts w:ascii="仿宋_GB2312" w:hAnsi="仿宋_GB2312" w:cs="仿宋_GB2312" w:eastAsia="仿宋_GB2312"/>
                    </w:rPr>
                    <w:t>在故障响应时间内检查医院反映的问题，并按时维修或者提供备品备件排除故障，保证监控系统正常运行，医院正常使用。对容易老化的BNC街头，电源接头，电源等易造成信号丢失的配件每个季度一次进行全面检查，一旦发现老化现象应及时更换，焊接。根据安防监控系统各部分设备的使用说明，每两个季度检测其各项技术参数及监控系统传输线路质量，处理故障隐患，协助监控主管设定使用级别等各种数据，确保各部分设备各项功能良好，能够正常运行。</w:t>
                  </w:r>
                </w:p>
              </w:tc>
              <w:tc>
                <w:tcPr>
                  <w:tcW w:type="dxa" w:w="372"/>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1、监控24小时不间断监控，历史影像资料保存35天，方便追溯调查。</w:t>
            </w:r>
          </w:p>
          <w:p>
            <w:pPr>
              <w:pStyle w:val="null3"/>
            </w:pPr>
            <w:r>
              <w:rPr>
                <w:rFonts w:ascii="仿宋_GB2312" w:hAnsi="仿宋_GB2312" w:cs="仿宋_GB2312" w:eastAsia="仿宋_GB2312"/>
              </w:rPr>
              <w:t>2、实施周期不得超过60天。</w:t>
            </w:r>
          </w:p>
          <w:p>
            <w:pPr>
              <w:pStyle w:val="null3"/>
            </w:pPr>
            <w:r>
              <w:rPr>
                <w:rFonts w:ascii="仿宋_GB2312" w:hAnsi="仿宋_GB2312" w:cs="仿宋_GB2312" w:eastAsia="仿宋_GB2312"/>
              </w:rPr>
              <w:t>3、需要将医院综合楼周围其他楼栋的监控设备全部接入到本次采购的监控系统中。</w:t>
            </w:r>
          </w:p>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1、进场时间：合同签订之日起1周内项目人员进场。</w:t>
            </w:r>
          </w:p>
          <w:p>
            <w:pPr>
              <w:pStyle w:val="null3"/>
            </w:pPr>
            <w:r>
              <w:rPr>
                <w:rFonts w:ascii="仿宋_GB2312" w:hAnsi="仿宋_GB2312" w:cs="仿宋_GB2312" w:eastAsia="仿宋_GB2312"/>
              </w:rPr>
              <w:t>2、进场地点:西安市阎良区人民医院</w:t>
            </w:r>
          </w:p>
          <w:p>
            <w:pPr>
              <w:pStyle w:val="null3"/>
            </w:pPr>
            <w:r>
              <w:rPr>
                <w:rFonts w:ascii="仿宋_GB2312" w:hAnsi="仿宋_GB2312" w:cs="仿宋_GB2312" w:eastAsia="仿宋_GB2312"/>
              </w:rPr>
              <w:t>3、质保期：项目验收起三年售后维保</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1、合同签订后1个月内支付合同总价款的40%作为预付款。</w:t>
            </w:r>
          </w:p>
          <w:p>
            <w:pPr>
              <w:pStyle w:val="null3"/>
            </w:pPr>
            <w:r>
              <w:rPr>
                <w:rFonts w:ascii="仿宋_GB2312" w:hAnsi="仿宋_GB2312" w:cs="仿宋_GB2312" w:eastAsia="仿宋_GB2312"/>
              </w:rPr>
              <w:t>2、项目实施完工，达到医院各个使用科室满意，院领导及各科室负责人签字，医院盖章验收通过后，支付至总价款的90%。</w:t>
            </w:r>
          </w:p>
          <w:p>
            <w:pPr>
              <w:pStyle w:val="null3"/>
            </w:pPr>
            <w:r>
              <w:rPr>
                <w:rFonts w:ascii="仿宋_GB2312" w:hAnsi="仿宋_GB2312" w:cs="仿宋_GB2312" w:eastAsia="仿宋_GB2312"/>
              </w:rPr>
              <w:t>3、项目验收后一年后，系统正常运行，无其他问题，支付总价款剩余10%。</w:t>
            </w:r>
          </w:p>
          <w:p>
            <w:pPr>
              <w:pStyle w:val="null3"/>
            </w:pPr>
            <w:r>
              <w:rPr>
                <w:rFonts w:ascii="仿宋_GB2312" w:hAnsi="仿宋_GB2312" w:cs="仿宋_GB2312" w:eastAsia="仿宋_GB2312"/>
              </w:rPr>
              <w:t>五、其他</w:t>
            </w:r>
          </w:p>
          <w:p>
            <w:pPr>
              <w:pStyle w:val="null3"/>
            </w:pPr>
            <w:r>
              <w:rPr>
                <w:rFonts w:ascii="仿宋_GB2312" w:hAnsi="仿宋_GB2312" w:cs="仿宋_GB2312" w:eastAsia="仿宋_GB2312"/>
              </w:rPr>
              <w:t>（一）对服务商的业绩要求</w:t>
            </w:r>
          </w:p>
          <w:p>
            <w:pPr>
              <w:pStyle w:val="null3"/>
            </w:pPr>
            <w:r>
              <w:rPr>
                <w:rFonts w:ascii="仿宋_GB2312" w:hAnsi="仿宋_GB2312" w:cs="仿宋_GB2312" w:eastAsia="仿宋_GB2312"/>
              </w:rPr>
              <w:t>有相关资质及相关项目实施方案及经验。</w:t>
            </w:r>
          </w:p>
          <w:p>
            <w:pPr>
              <w:pStyle w:val="null3"/>
            </w:pPr>
            <w:r>
              <w:rPr>
                <w:rFonts w:ascii="仿宋_GB2312" w:hAnsi="仿宋_GB2312" w:cs="仿宋_GB2312" w:eastAsia="仿宋_GB2312"/>
              </w:rPr>
              <w:t>（二）进度要求</w:t>
            </w:r>
          </w:p>
          <w:p>
            <w:pPr>
              <w:pStyle w:val="null3"/>
            </w:pPr>
            <w:r>
              <w:rPr>
                <w:rFonts w:ascii="仿宋_GB2312" w:hAnsi="仿宋_GB2312" w:cs="仿宋_GB2312" w:eastAsia="仿宋_GB2312"/>
              </w:rPr>
              <w:t>合同签订之日起1周内项目人员进场，实施周期不得超过60天。</w:t>
            </w:r>
          </w:p>
          <w:p>
            <w:pPr>
              <w:pStyle w:val="null3"/>
            </w:pPr>
            <w:r>
              <w:rPr>
                <w:rFonts w:ascii="仿宋_GB2312" w:hAnsi="仿宋_GB2312" w:cs="仿宋_GB2312" w:eastAsia="仿宋_GB2312"/>
              </w:rPr>
              <w:t>（三）成果交付要求</w:t>
            </w:r>
          </w:p>
          <w:p>
            <w:pPr>
              <w:pStyle w:val="null3"/>
            </w:pPr>
            <w:r>
              <w:rPr>
                <w:rFonts w:ascii="仿宋_GB2312" w:hAnsi="仿宋_GB2312" w:cs="仿宋_GB2312" w:eastAsia="仿宋_GB2312"/>
              </w:rPr>
              <w:t>按照技术要求完成项目实施。</w:t>
            </w:r>
          </w:p>
          <w:p>
            <w:pPr>
              <w:pStyle w:val="null3"/>
            </w:pPr>
            <w:r>
              <w:rPr>
                <w:rFonts w:ascii="仿宋_GB2312" w:hAnsi="仿宋_GB2312" w:cs="仿宋_GB2312" w:eastAsia="仿宋_GB2312"/>
              </w:rPr>
              <w:t>（四）质量验收标准或规范</w:t>
            </w:r>
          </w:p>
          <w:p>
            <w:pPr>
              <w:pStyle w:val="null3"/>
            </w:pPr>
            <w:r>
              <w:rPr>
                <w:rFonts w:ascii="仿宋_GB2312" w:hAnsi="仿宋_GB2312" w:cs="仿宋_GB2312" w:eastAsia="仿宋_GB2312"/>
              </w:rPr>
              <w:t>医院请院内或院外专家，根据国家规范及合同要求范围，组织对项目进行验收。</w:t>
            </w:r>
          </w:p>
          <w:p>
            <w:pPr>
              <w:pStyle w:val="null3"/>
            </w:pPr>
            <w:r>
              <w:rPr>
                <w:rFonts w:ascii="仿宋_GB2312" w:hAnsi="仿宋_GB2312" w:cs="仿宋_GB2312" w:eastAsia="仿宋_GB2312"/>
              </w:rPr>
              <w:t>（五）违约责任</w:t>
            </w:r>
          </w:p>
          <w:p>
            <w:pPr>
              <w:pStyle w:val="null3"/>
            </w:pPr>
            <w:r>
              <w:rPr>
                <w:rFonts w:ascii="仿宋_GB2312" w:hAnsi="仿宋_GB2312" w:cs="仿宋_GB2312" w:eastAsia="仿宋_GB2312"/>
              </w:rPr>
              <w:t>1、乙方应按照合同规定的期限完成系统调试、安装、培训、维护、验收，每延迟一天应承担当期应付款 5‰的违约金，违约金累计不超过当期应付款10%。若违约金累计已达上限，乙方仍未履行，甲方有权解除合同。</w:t>
            </w:r>
          </w:p>
          <w:p>
            <w:pPr>
              <w:pStyle w:val="null3"/>
            </w:pPr>
            <w:r>
              <w:rPr>
                <w:rFonts w:ascii="仿宋_GB2312" w:hAnsi="仿宋_GB2312" w:cs="仿宋_GB2312" w:eastAsia="仿宋_GB2312"/>
              </w:rPr>
              <w:t xml:space="preserve">2、甲、乙双方中任何一方违反本合同第十二条保密条款的，应当向相对方支付合同总价款 1 %的违约金。 </w:t>
            </w:r>
          </w:p>
          <w:p>
            <w:pPr>
              <w:pStyle w:val="null3"/>
            </w:pPr>
            <w:r>
              <w:rPr>
                <w:rFonts w:ascii="仿宋_GB2312" w:hAnsi="仿宋_GB2312" w:cs="仿宋_GB2312" w:eastAsia="仿宋_GB2312"/>
              </w:rPr>
              <w:t xml:space="preserve">3、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责任，乙方还应向甲方承担合同总价款 1 % 的违约金，违约金不足以弥补给甲方造成的损失的，乙方还应当承担补足责任。 </w:t>
            </w:r>
          </w:p>
          <w:p>
            <w:pPr>
              <w:pStyle w:val="null3"/>
            </w:pPr>
            <w:r>
              <w:rPr>
                <w:rFonts w:ascii="仿宋_GB2312" w:hAnsi="仿宋_GB2312" w:cs="仿宋_GB2312" w:eastAsia="仿宋_GB2312"/>
              </w:rPr>
              <w:t>4、合同成立后，在任何一方无实质违约的情况下，未经对方书面允许，任何一方不得单方撤销、中止、终止履行合同。</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根据项目内容配备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根据项目内容配备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西安市阎良区人民医院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合同签订后支付合同总价款的40%作为预付款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项目服务完成，达到医院各个使用科室满意，院领导及各科室负责人签字，医院盖章验收通过后，支付至总价款的90%。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项目验收后一年后，系统正常运行，无其他问题，支付总价款剩余10%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 3、在执行本合同中发生的或与本合同有关的争端，双方应通过友好协商解决，经协商在15天内不能达成协议时，应提交西安仲裁委员会仲裁。 4、仲裁裁决应为最终决定，并对双方具有约束力。 5、除另有裁决外，仲裁费应由败诉方负担。 6、在仲裁期间，除正在进行仲裁部分外，合同其他部分继续执行。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成交人在领取成交通知书时提供一正两副纸质竞争性磋商响应文件及电子竞争性磋商响应文件一份（U盘或移动硬盘；电子响应文件为Word版本和PDF版本，PDF文件为签字、盖章的完整正本扫描件）。 装订：纸质竞争性磋商响应文件采用书籍（胶装）方式装订成册，与电子竞争性磋商响应文件一致的签字、盖章的完整版本。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供应商需在项目电子化交易系统中按要求上传相应证明文件并进行电子签章。此项审查内容与特定资格条件中的第二项“财务状况报告”为同一审查内容。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供应商需在项目电子化交易系统中按要求填写《投标函》完成承诺并进行电子签章。此项审查内容与特定资格条件中的第九项“控股关系查询”为同一审查内容。</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提供投标人合法注册的法人或其他组织的营业执照等证明文件或自然人的身份证明；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编制格式</w:t>
            </w:r>
          </w:p>
        </w:tc>
        <w:tc>
          <w:tcPr>
            <w:tcW w:type="dxa" w:w="3322"/>
          </w:tcPr>
          <w:p>
            <w:pPr>
              <w:pStyle w:val="null3"/>
            </w:pPr>
            <w:r>
              <w:rPr>
                <w:rFonts w:ascii="仿宋_GB2312" w:hAnsi="仿宋_GB2312" w:cs="仿宋_GB2312" w:eastAsia="仿宋_GB2312"/>
              </w:rPr>
              <w:t>除明确允许供应商可以自行编写的外，响应文件文件必须按照竞争性磋商文件给定的格式和要求编制</w:t>
            </w:r>
          </w:p>
        </w:tc>
        <w:tc>
          <w:tcPr>
            <w:tcW w:type="dxa" w:w="1661"/>
          </w:tcPr>
          <w:p>
            <w:pPr>
              <w:pStyle w:val="null3"/>
            </w:pPr>
            <w:r>
              <w:rPr>
                <w:rFonts w:ascii="仿宋_GB2312" w:hAnsi="仿宋_GB2312" w:cs="仿宋_GB2312" w:eastAsia="仿宋_GB2312"/>
              </w:rPr>
              <w:t>产品渠道 供应商参与政府采购活动的承诺函 中小企业声明函 业绩 商务应答表 技术指标响应情况 总体服务实施方案 服务内容及服务要求应答表 报价表 服务保障 拒绝政府采购领域商业贿赂承诺书 日常运维保障 响应文件封面 资格证明文件 备品备件计划 质量保证 培训方案 残疾人福利性单位声明函 拟派项目组人员 供应商有必要说明的其他事项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签章均符合文件要求，且无遗漏</w:t>
            </w:r>
          </w:p>
        </w:tc>
        <w:tc>
          <w:tcPr>
            <w:tcW w:type="dxa" w:w="1661"/>
          </w:tcPr>
          <w:p>
            <w:pPr>
              <w:pStyle w:val="null3"/>
            </w:pPr>
            <w:r>
              <w:rPr>
                <w:rFonts w:ascii="仿宋_GB2312" w:hAnsi="仿宋_GB2312" w:cs="仿宋_GB2312" w:eastAsia="仿宋_GB2312"/>
              </w:rPr>
              <w:t>产品渠道 供应商参与政府采购活动的承诺函 中小企业声明函 业绩 商务应答表 技术指标响应情况 总体服务实施方案 服务内容及服务要求应答表 报价表 服务保障 拒绝政府采购领域商业贿赂承诺书 日常运维保障 响应文件封面 资格证明文件 备品备件计划 质量保证 培训方案 残疾人福利性单位声明函 拟派项目组人员 供应商有必要说明的其他事项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是否对磋商文件商务要求作出明确且实质性响应；是否对磋商文件技术要求作出明确响应，对不得偏离的要求是否作出实质性响应。</w:t>
            </w:r>
          </w:p>
        </w:tc>
        <w:tc>
          <w:tcPr>
            <w:tcW w:type="dxa" w:w="1661"/>
          </w:tcPr>
          <w:p>
            <w:pPr>
              <w:pStyle w:val="null3"/>
            </w:pPr>
            <w:r>
              <w:rPr>
                <w:rFonts w:ascii="仿宋_GB2312" w:hAnsi="仿宋_GB2312" w:cs="仿宋_GB2312" w:eastAsia="仿宋_GB2312"/>
              </w:rPr>
              <w:t>商务应答表 服务内容及服务要求应答表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产品渠道 供应商参与政府采购活动的承诺函 中小企业声明函 业绩 商务应答表 技术指标响应情况 总体服务实施方案 服务内容及服务要求应答表 报价表 服务保障 拒绝政府采购领域商业贿赂承诺书 日常运维保障 响应文件封面 资格证明文件 备品备件计划 质量保证 培训方案 残疾人福利性单位声明函 拟派项目组人员 供应商有必要说明的其他事项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根据供应商针对本项目拟投主要产品的技术指标响应情况进行评审，完全符合、响应竞争性磋商文件要求，没有负偏离的得20分。技术内容及要求每有负偏离一项的扣0.5分，扣完为止； 备注：技术参数须提供佐证材料，包括但不限于：经厂家确认的产品彩页、检测报告、官网截图等证明材料，佐证材料须包含产品的技术参数，如为外文版本，须附简体中文翻译相关文件并按要求编入响应文件中）</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技术指标响应情况</w:t>
            </w:r>
          </w:p>
        </w:tc>
      </w:tr>
      <w:tr>
        <w:tc>
          <w:tcPr>
            <w:tcW w:type="dxa" w:w="831"/>
            <w:vMerge/>
          </w:tcPr>
          <w:p/>
        </w:tc>
        <w:tc>
          <w:tcPr>
            <w:tcW w:type="dxa" w:w="1661"/>
          </w:tcPr>
          <w:p>
            <w:pPr>
              <w:pStyle w:val="null3"/>
            </w:pPr>
            <w:r>
              <w:rPr>
                <w:rFonts w:ascii="仿宋_GB2312" w:hAnsi="仿宋_GB2312" w:cs="仿宋_GB2312" w:eastAsia="仿宋_GB2312"/>
              </w:rPr>
              <w:t>总体服务实施方案1</w:t>
            </w:r>
          </w:p>
        </w:tc>
        <w:tc>
          <w:tcPr>
            <w:tcW w:type="dxa" w:w="2492"/>
          </w:tcPr>
          <w:p>
            <w:pPr>
              <w:pStyle w:val="null3"/>
            </w:pPr>
            <w:r>
              <w:rPr>
                <w:rFonts w:ascii="仿宋_GB2312" w:hAnsi="仿宋_GB2312" w:cs="仿宋_GB2312" w:eastAsia="仿宋_GB2312"/>
              </w:rPr>
              <w:t>项目的认识与理解： 根据供应商对采购人目前项目现状有充分的认识、分析与理解进行评审： 对采购人现状十分了解，分析方案贴切采购人现状，完全满足采购人实际需求的得5分； 对采购人现状相对了解，分析方案较贴近采购人现状，能够达到使用需求的得3分， 对采购人现状了解不透彻，分析部分偏离采购人现状的得2分； 未对采购人现状进行了解，分析完全偏离采购人现状的得1分；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总体服务实施方案</w:t>
            </w:r>
          </w:p>
        </w:tc>
      </w:tr>
      <w:tr>
        <w:tc>
          <w:tcPr>
            <w:tcW w:type="dxa" w:w="831"/>
            <w:vMerge/>
          </w:tcPr>
          <w:p/>
        </w:tc>
        <w:tc>
          <w:tcPr>
            <w:tcW w:type="dxa" w:w="1661"/>
          </w:tcPr>
          <w:p>
            <w:pPr>
              <w:pStyle w:val="null3"/>
            </w:pPr>
            <w:r>
              <w:rPr>
                <w:rFonts w:ascii="仿宋_GB2312" w:hAnsi="仿宋_GB2312" w:cs="仿宋_GB2312" w:eastAsia="仿宋_GB2312"/>
              </w:rPr>
              <w:t>总体服务实施方案2</w:t>
            </w:r>
          </w:p>
        </w:tc>
        <w:tc>
          <w:tcPr>
            <w:tcW w:type="dxa" w:w="2492"/>
          </w:tcPr>
          <w:p>
            <w:pPr>
              <w:pStyle w:val="null3"/>
            </w:pPr>
            <w:r>
              <w:rPr>
                <w:rFonts w:ascii="仿宋_GB2312" w:hAnsi="仿宋_GB2312" w:cs="仿宋_GB2312" w:eastAsia="仿宋_GB2312"/>
              </w:rPr>
              <w:t>根据供应商对采购人目前项目现状提供的总体实施方案进行评审： ①总体服务思路符合本项目实际需求，具有可行性和科学性；内容完整全面、详细具体、流程规范，计10分； ②总体方案内容完整，流程规范，但内容体系条理不清晰，计8分； ③总体方案内容总体简单、流程无重点，计4分； ④总体方案只有粗略描述、无实质性内容，计1分； ⑤未提供相关内容的不计分。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总体服务实施方案</w:t>
            </w:r>
          </w:p>
        </w:tc>
      </w:tr>
      <w:tr>
        <w:tc>
          <w:tcPr>
            <w:tcW w:type="dxa" w:w="831"/>
            <w:vMerge/>
          </w:tcPr>
          <w:p/>
        </w:tc>
        <w:tc>
          <w:tcPr>
            <w:tcW w:type="dxa" w:w="1661"/>
          </w:tcPr>
          <w:p>
            <w:pPr>
              <w:pStyle w:val="null3"/>
            </w:pPr>
            <w:r>
              <w:rPr>
                <w:rFonts w:ascii="仿宋_GB2312" w:hAnsi="仿宋_GB2312" w:cs="仿宋_GB2312" w:eastAsia="仿宋_GB2312"/>
              </w:rPr>
              <w:t>备品备件计划</w:t>
            </w:r>
          </w:p>
        </w:tc>
        <w:tc>
          <w:tcPr>
            <w:tcW w:type="dxa" w:w="2492"/>
          </w:tcPr>
          <w:p>
            <w:pPr>
              <w:pStyle w:val="null3"/>
            </w:pPr>
            <w:r>
              <w:rPr>
                <w:rFonts w:ascii="仿宋_GB2312" w:hAnsi="仿宋_GB2312" w:cs="仿宋_GB2312" w:eastAsia="仿宋_GB2312"/>
              </w:rPr>
              <w:t>投标人针对本项目具有充足的备品备件计划。 ①产品及备品、配件货源渠道正常，有质量保证，确保无假货、水 货、翻新货，技术资料齐全，无产权纠纷的计5分； ②备品备件不齐全的，无清晰的配件货源渠道的计3分； ③未提供的不计分。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备品备件计划</w:t>
            </w:r>
          </w:p>
        </w:tc>
      </w:tr>
      <w:tr>
        <w:tc>
          <w:tcPr>
            <w:tcW w:type="dxa" w:w="831"/>
            <w:vMerge/>
          </w:tcPr>
          <w:p/>
        </w:tc>
        <w:tc>
          <w:tcPr>
            <w:tcW w:type="dxa" w:w="1661"/>
          </w:tcPr>
          <w:p>
            <w:pPr>
              <w:pStyle w:val="null3"/>
            </w:pPr>
            <w:r>
              <w:rPr>
                <w:rFonts w:ascii="仿宋_GB2312" w:hAnsi="仿宋_GB2312" w:cs="仿宋_GB2312" w:eastAsia="仿宋_GB2312"/>
              </w:rPr>
              <w:t>日常运维保障</w:t>
            </w:r>
          </w:p>
        </w:tc>
        <w:tc>
          <w:tcPr>
            <w:tcW w:type="dxa" w:w="2492"/>
          </w:tcPr>
          <w:p>
            <w:pPr>
              <w:pStyle w:val="null3"/>
            </w:pPr>
            <w:r>
              <w:rPr>
                <w:rFonts w:ascii="仿宋_GB2312" w:hAnsi="仿宋_GB2312" w:cs="仿宋_GB2312" w:eastAsia="仿宋_GB2312"/>
              </w:rPr>
              <w:t>根据供应商对本项目建设和日常运行保障提供具体实施方案进行评审： 内容全面、完善，实操性强，建设和日常运行保障方案完好的得5分； 内容相对全面，实操相对可行，建设和日常运行保障方案满足采购人实际需求的得3分； 内容不全面，实操无法满足采购人需求，缺项、漏项严重的得1分；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日常运维保障</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能提供所投全部产品的合法来源渠道证明文件（包括但不限于产品制造商授权、销售协议、代理协议、原厂授权等）的计5分，不提供或提供不完整不计分。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制造厂家有可靠、完善的管理制度；产品质量承诺及保证措施；有足够的设计、工艺、加工、检验能力；所投产品符合国际、国内相关标准，有具体可行的质量保证承诺，保证使用单位能熟练操作维护和正常使用。 ①内容具体、完整、详细、全面的计10分； ②内容一项欠缺的或质量保证承诺内容不切合本项目实际情况的或不具备相关检验能力的或保证措施内容不具体的或条理不清晰的计8分； ③内容有两项欠缺或有框架，无实质性内容的或无产品质量承诺的计4分； ④内容有严重缺项的或只用简单话语概括的计1分； ⑤未提供相关内容的不计分。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根据供应商针对本项目具有相应的服务保障，能够保证平台正常运转。针对设备发生不同类型故障后的到达现场时间、解决故障时间、补救措施方面的响应时间、维保期限有明确方案及承诺进行评审： 方案充实详细、有质量保证承诺，具体可行的得5分； 服务承诺内容有重点，但无服务保障措施的得3分； 服务承诺只有简单描述无实质性内容、无可行性的得1分；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w:t>
            </w:r>
          </w:p>
        </w:tc>
      </w:tr>
      <w:tr>
        <w:tc>
          <w:tcPr>
            <w:tcW w:type="dxa" w:w="831"/>
            <w:vMerge/>
          </w:tcPr>
          <w:p/>
        </w:tc>
        <w:tc>
          <w:tcPr>
            <w:tcW w:type="dxa" w:w="1661"/>
          </w:tcPr>
          <w:p>
            <w:pPr>
              <w:pStyle w:val="null3"/>
            </w:pPr>
            <w:r>
              <w:rPr>
                <w:rFonts w:ascii="仿宋_GB2312" w:hAnsi="仿宋_GB2312" w:cs="仿宋_GB2312" w:eastAsia="仿宋_GB2312"/>
              </w:rPr>
              <w:t>拟派项目组人员1</w:t>
            </w:r>
          </w:p>
        </w:tc>
        <w:tc>
          <w:tcPr>
            <w:tcW w:type="dxa" w:w="2492"/>
          </w:tcPr>
          <w:p>
            <w:pPr>
              <w:pStyle w:val="null3"/>
            </w:pPr>
            <w:r>
              <w:rPr>
                <w:rFonts w:ascii="仿宋_GB2312" w:hAnsi="仿宋_GB2312" w:cs="仿宋_GB2312" w:eastAsia="仿宋_GB2312"/>
              </w:rPr>
              <w:t>项目组织管理机构设置及人员分工安排合理、职责划分明确的计5分；管理机构设置简单或人员、分工不合理的或职责划分不明确的计3分；只有框架无实质性内容的或只有简单概述的或欠缺的计1分，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拟派项目组人员</w:t>
            </w:r>
          </w:p>
        </w:tc>
      </w:tr>
      <w:tr>
        <w:tc>
          <w:tcPr>
            <w:tcW w:type="dxa" w:w="831"/>
            <w:vMerge/>
          </w:tcPr>
          <w:p/>
        </w:tc>
        <w:tc>
          <w:tcPr>
            <w:tcW w:type="dxa" w:w="1661"/>
          </w:tcPr>
          <w:p>
            <w:pPr>
              <w:pStyle w:val="null3"/>
            </w:pPr>
            <w:r>
              <w:rPr>
                <w:rFonts w:ascii="仿宋_GB2312" w:hAnsi="仿宋_GB2312" w:cs="仿宋_GB2312" w:eastAsia="仿宋_GB2312"/>
              </w:rPr>
              <w:t>拟派项目组人员2</w:t>
            </w:r>
          </w:p>
        </w:tc>
        <w:tc>
          <w:tcPr>
            <w:tcW w:type="dxa" w:w="2492"/>
          </w:tcPr>
          <w:p>
            <w:pPr>
              <w:pStyle w:val="null3"/>
            </w:pPr>
            <w:r>
              <w:rPr>
                <w:rFonts w:ascii="仿宋_GB2312" w:hAnsi="仿宋_GB2312" w:cs="仿宋_GB2312" w:eastAsia="仿宋_GB2312"/>
              </w:rPr>
              <w:t>拟派项目负责人及项目组成人员资质优良，结合从业年限、工作经验及业绩等因素，资质优良，经验丰富的计5分；组成人员工作经验不足，从业年限及经验欠佳的计3分；无工作经验或只有项目负责人有工作经验或无相关工作经验的计1分，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拟派项目组人员</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定期提供优质的服务培训，提供培训方式、时间、地点、人员、培训内容。 ①内容具体、完整、详细、全面的计5分； ②内容有1项缺项，计3分； ③内容有2项以上缺项，计1分； ④未提供培训方案及与培训方案有关内容的不计分。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2021年12月1日至磋商响应文件截止时间）供应商曾参与过类似服务项目的业绩的情况，须提供合同复印件等证明材料（所提供的合同可以不牵涉到金额等相关商业机密信息，但必须提供合同双方签署页及合同签署双方的完整信息进行评审）。每提供一个有效业绩证明材料得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详见附件：技术指标响应情况</w:t>
      </w:r>
    </w:p>
    <w:p>
      <w:pPr>
        <w:pStyle w:val="null3"/>
        <w:ind w:firstLine="960"/>
      </w:pPr>
      <w:r>
        <w:rPr>
          <w:rFonts w:ascii="仿宋_GB2312" w:hAnsi="仿宋_GB2312" w:cs="仿宋_GB2312" w:eastAsia="仿宋_GB2312"/>
        </w:rPr>
        <w:t>详见附件：总体服务实施方案</w:t>
      </w:r>
    </w:p>
    <w:p>
      <w:pPr>
        <w:pStyle w:val="null3"/>
        <w:ind w:firstLine="960"/>
      </w:pPr>
      <w:r>
        <w:rPr>
          <w:rFonts w:ascii="仿宋_GB2312" w:hAnsi="仿宋_GB2312" w:cs="仿宋_GB2312" w:eastAsia="仿宋_GB2312"/>
        </w:rPr>
        <w:t>详见附件：备品备件计划</w:t>
      </w:r>
    </w:p>
    <w:p>
      <w:pPr>
        <w:pStyle w:val="null3"/>
        <w:ind w:firstLine="960"/>
      </w:pPr>
      <w:r>
        <w:rPr>
          <w:rFonts w:ascii="仿宋_GB2312" w:hAnsi="仿宋_GB2312" w:cs="仿宋_GB2312" w:eastAsia="仿宋_GB2312"/>
        </w:rPr>
        <w:t>详见附件：日常运维保障</w:t>
      </w:r>
    </w:p>
    <w:p>
      <w:pPr>
        <w:pStyle w:val="null3"/>
        <w:ind w:firstLine="960"/>
      </w:pPr>
      <w:r>
        <w:rPr>
          <w:rFonts w:ascii="仿宋_GB2312" w:hAnsi="仿宋_GB2312" w:cs="仿宋_GB2312" w:eastAsia="仿宋_GB2312"/>
        </w:rPr>
        <w:t>详见附件：产品渠道</w:t>
      </w:r>
    </w:p>
    <w:p>
      <w:pPr>
        <w:pStyle w:val="null3"/>
        <w:ind w:firstLine="960"/>
      </w:pPr>
      <w:r>
        <w:rPr>
          <w:rFonts w:ascii="仿宋_GB2312" w:hAnsi="仿宋_GB2312" w:cs="仿宋_GB2312" w:eastAsia="仿宋_GB2312"/>
        </w:rPr>
        <w:t>详见附件：质量保证</w:t>
      </w:r>
    </w:p>
    <w:p>
      <w:pPr>
        <w:pStyle w:val="null3"/>
        <w:ind w:firstLine="960"/>
      </w:pPr>
      <w:r>
        <w:rPr>
          <w:rFonts w:ascii="仿宋_GB2312" w:hAnsi="仿宋_GB2312" w:cs="仿宋_GB2312" w:eastAsia="仿宋_GB2312"/>
        </w:rPr>
        <w:t>详见附件：服务保障</w:t>
      </w:r>
    </w:p>
    <w:p>
      <w:pPr>
        <w:pStyle w:val="null3"/>
        <w:ind w:firstLine="960"/>
      </w:pPr>
      <w:r>
        <w:rPr>
          <w:rFonts w:ascii="仿宋_GB2312" w:hAnsi="仿宋_GB2312" w:cs="仿宋_GB2312" w:eastAsia="仿宋_GB2312"/>
        </w:rPr>
        <w:t>详见附件：拟派项目组人员</w:t>
      </w:r>
    </w:p>
    <w:p>
      <w:pPr>
        <w:pStyle w:val="null3"/>
        <w:ind w:firstLine="960"/>
      </w:pPr>
      <w:r>
        <w:rPr>
          <w:rFonts w:ascii="仿宋_GB2312" w:hAnsi="仿宋_GB2312" w:cs="仿宋_GB2312" w:eastAsia="仿宋_GB2312"/>
        </w:rPr>
        <w:t>详见附件：培训方案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详见附件：供应商有必要说明的其他事项</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详见附件：供应商参与政府采购活动的承诺函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