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版本号：ZZHY202502300120250120001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西安市阎良区流浪乞讨人员救助服务项目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ZZHY2025023001</w:t>
      </w:r>
      <w:r>
        <w:br/>
      </w:r>
      <w:r>
        <w:br/>
      </w:r>
      <w:r>
        <w:br/>
      </w:r>
    </w:p>
    <w:p>
      <w:pPr>
        <w:pStyle w:val="null3"/>
        <w:jc w:val="center"/>
        <w:outlineLvl w:val="2"/>
      </w:pPr>
      <w:r>
        <w:rPr>
          <w:rFonts w:ascii="仿宋_GB2312" w:hAnsi="仿宋_GB2312" w:cs="仿宋_GB2312" w:eastAsia="仿宋_GB2312"/>
          <w:sz w:val="28"/>
          <w:b/>
        </w:rPr>
        <w:t>西安市阎良区救助管理站</w:t>
      </w:r>
    </w:p>
    <w:p>
      <w:pPr>
        <w:pStyle w:val="null3"/>
        <w:jc w:val="center"/>
        <w:outlineLvl w:val="2"/>
      </w:pPr>
      <w:r>
        <w:rPr>
          <w:rFonts w:ascii="仿宋_GB2312" w:hAnsi="仿宋_GB2312" w:cs="仿宋_GB2312" w:eastAsia="仿宋_GB2312"/>
          <w:sz w:val="28"/>
          <w:b/>
        </w:rPr>
        <w:t>中正翰元项目管理有限公司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中正翰元项目管理有限公司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西安市阎良区救助管理站</w:t>
      </w:r>
      <w:r>
        <w:rPr>
          <w:rFonts w:ascii="仿宋_GB2312" w:hAnsi="仿宋_GB2312" w:cs="仿宋_GB2312" w:eastAsia="仿宋_GB2312"/>
        </w:rPr>
        <w:t>委托，拟对</w:t>
      </w:r>
      <w:r>
        <w:rPr>
          <w:rFonts w:ascii="仿宋_GB2312" w:hAnsi="仿宋_GB2312" w:cs="仿宋_GB2312" w:eastAsia="仿宋_GB2312"/>
        </w:rPr>
        <w:t>西安市阎良区流浪乞讨人员救助服务项目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ZZHY2025023001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西安市阎良区流浪乞讨人员救助服务项目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阎良区流浪乞讨人员救助服务项目为进一步规范和细化救助管理站对流浪乞讨人员日常照料服务，解决救助管理站因专业人力不足的难题，提升救助服务工作精细化的水平，为不同的受助人员提供更加多样化、精细化、专业化的服务，使站内救助服务水平不断提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采购包1（西安市阎良区流浪乞讨人员救助服务项目）：属于专门面向中小企业采购。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1、注册登记凭证：营业执照/其他组织经营的合法凭证/自然人的提供身份证明文件</w:t>
      </w:r>
    </w:p>
    <w:p>
      <w:pPr>
        <w:pStyle w:val="null3"/>
      </w:pPr>
      <w:r>
        <w:rPr>
          <w:rFonts w:ascii="仿宋_GB2312" w:hAnsi="仿宋_GB2312" w:cs="仿宋_GB2312" w:eastAsia="仿宋_GB2312"/>
        </w:rPr>
        <w:t>2、财务状况报告：提供2023年或2024年任一年度经审计的财务报告/或其基本存款账户开户银行出具的资信证明及 基本存款账户开户许可证（基本账户信息表）/或财政部门认可的政府采购专业担保机构出具的投标担保函（以上三种形式的资料提供任何一种即可）</w:t>
      </w:r>
    </w:p>
    <w:p>
      <w:pPr>
        <w:pStyle w:val="null3"/>
      </w:pPr>
      <w:r>
        <w:rPr>
          <w:rFonts w:ascii="仿宋_GB2312" w:hAnsi="仿宋_GB2312" w:cs="仿宋_GB2312" w:eastAsia="仿宋_GB2312"/>
        </w:rPr>
        <w:t>3、税收缴纳证明：提供磋商截止日前一年内已缴纳的至少一个月的纳税证明或完税证明，依法免税的单位应提供相关证明材料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4、社保缴纳证明：提供磋商截止日前一年内已缴存的至少一个月的社会保障资金缴存单据或社保机构开具的社会保险参保缴费情况证明，依法不需要缴纳社会保障资金的单位应提供相关证明材料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5、信用声明：参加政府采购活动前 3 年内在经营活动中没有重大违法记录的书面声明</w:t>
      </w:r>
    </w:p>
    <w:p>
      <w:pPr>
        <w:pStyle w:val="null3"/>
      </w:pPr>
      <w:r>
        <w:rPr>
          <w:rFonts w:ascii="仿宋_GB2312" w:hAnsi="仿宋_GB2312" w:cs="仿宋_GB2312" w:eastAsia="仿宋_GB2312"/>
        </w:rPr>
        <w:t>6、履约承诺：提供具有履行本合同所必需的设备和专业技术能力的承诺书</w:t>
      </w:r>
    </w:p>
    <w:p>
      <w:pPr>
        <w:pStyle w:val="null3"/>
      </w:pPr>
      <w:r>
        <w:rPr>
          <w:rFonts w:ascii="仿宋_GB2312" w:hAnsi="仿宋_GB2312" w:cs="仿宋_GB2312" w:eastAsia="仿宋_GB2312"/>
        </w:rPr>
        <w:t>7、法定代表人授权书：法定代表人授权书及被授权人身份证（法定代表人直接参加投标的须提供其法人身份证），非法人单位参照执行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西安市阎良区人民东路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18682905378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中正翰元项目管理有限公司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陕西省西安市经济技术开发区凤城五路赛高国际街区3号楼1单元20层12001室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029-62567222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代理服务费收费标准：1.确定成交供应商后 3 个工作日内，由成交供应商按国家计委颁发的《 招标代理服务收费管理暂行办法》（计价格[2002]1980号）和国家发展改革委员会办公厅颁发 的《关于招标代理服务收费有关问题的通知》（发改办价格[2003] 857号）的有关规定标准， 向采购代理机构一次付清代理服务费。 2.代理费账户： 开户名称：中正翰元项目管理有限公司 开户银行：交通银行股份有限公司西安长庆支行 账 号：6113 0109 6013 0011 28048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西安市阎良区救助管理站</w:t>
      </w:r>
      <w:r>
        <w:rPr>
          <w:rFonts w:ascii="仿宋_GB2312" w:hAnsi="仿宋_GB2312" w:cs="仿宋_GB2312" w:eastAsia="仿宋_GB2312"/>
        </w:rPr>
        <w:t>和</w:t>
      </w:r>
      <w:r>
        <w:rPr>
          <w:rFonts w:ascii="仿宋_GB2312" w:hAnsi="仿宋_GB2312" w:cs="仿宋_GB2312" w:eastAsia="仿宋_GB2312"/>
        </w:rPr>
        <w:t>中正翰元项目管理有限公司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中正翰元项目管理有限公司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中正翰元项目管理有限公司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中正翰元项目管理有限公司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联系人：胡明</w:t>
      </w:r>
    </w:p>
    <w:p>
      <w:pPr>
        <w:pStyle w:val="null3"/>
      </w:pPr>
      <w:r>
        <w:rPr>
          <w:rFonts w:ascii="仿宋_GB2312" w:hAnsi="仿宋_GB2312" w:cs="仿宋_GB2312" w:eastAsia="仿宋_GB2312"/>
        </w:rPr>
        <w:t>联系电话：029-62567222</w:t>
      </w:r>
    </w:p>
    <w:p>
      <w:pPr>
        <w:pStyle w:val="null3"/>
      </w:pPr>
      <w:r>
        <w:rPr>
          <w:rFonts w:ascii="仿宋_GB2312" w:hAnsi="仿宋_GB2312" w:cs="仿宋_GB2312" w:eastAsia="仿宋_GB2312"/>
        </w:rPr>
        <w:t>地址：陕西省西安市经济技术开发区凤城五路赛高国际街区3号楼1单元20层12001室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阎良区流浪乞讨人员救助服务项目为进一步规范和细化救助管理站对流浪乞讨人员日常照料服务，解决救助管理站因专业人力不足的难题，提升救助服务工作精细化的水平，为不同的受助人员提供更加多样化、精细化、专业化的服务，使站内救助服务水平不断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389,200.00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西安市阎良区流浪乞讨人员救助服务项目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标的名称：西安市阎良区流浪乞讨人员救助服务项目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一、服务内容</w:t>
            </w:r>
          </w:p>
        </w:tc>
        <w:tc>
          <w:tcPr>
            <w:tcW w:type="dxa" w:w="2076"/>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、工作目标</w:t>
            </w:r>
          </w:p>
          <w:p>
            <w:pPr>
              <w:pStyle w:val="null3"/>
              <w:ind w:firstLine="480"/>
              <w:jc w:val="both"/>
            </w:pPr>
            <w:r>
              <w:rPr>
                <w:rFonts w:ascii="仿宋_GB2312" w:hAnsi="仿宋_GB2312" w:cs="仿宋_GB2312" w:eastAsia="仿宋_GB2312"/>
                <w:sz w:val="24"/>
                <w:color w:val="333333"/>
                <w:shd w:fill="FFFFFF" w:val="clear"/>
              </w:rPr>
              <w:t>实现受助人员综合救助服务全天候、无死角、无漏洞。让救助服务及时、更专业、更温馨，使流浪乞讨人员共享到社会发展成果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、服务对象</w:t>
            </w:r>
          </w:p>
          <w:p>
            <w:pPr>
              <w:pStyle w:val="null3"/>
              <w:ind w:firstLine="480"/>
              <w:jc w:val="both"/>
            </w:pPr>
            <w:r>
              <w:rPr>
                <w:rFonts w:ascii="仿宋_GB2312" w:hAnsi="仿宋_GB2312" w:cs="仿宋_GB2312" w:eastAsia="仿宋_GB2312"/>
                <w:sz w:val="24"/>
              </w:rPr>
              <w:t>阎良区救助管理站受助人员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车辆驾驶</w:t>
            </w:r>
          </w:p>
          <w:p>
            <w:pPr>
              <w:pStyle w:val="null3"/>
              <w:jc w:val="both"/>
            </w:pPr>
            <w:r>
              <w:rPr>
                <w:rFonts w:ascii="仿宋_GB2312" w:hAnsi="仿宋_GB2312" w:cs="仿宋_GB2312" w:eastAsia="仿宋_GB2312"/>
                <w:sz w:val="24"/>
                <w:color w:val="000000"/>
              </w:rPr>
              <w:t>日服务时效</w:t>
            </w:r>
            <w:r>
              <w:rPr>
                <w:rFonts w:ascii="仿宋_GB2312" w:hAnsi="仿宋_GB2312" w:cs="仿宋_GB2312" w:eastAsia="仿宋_GB2312"/>
                <w:sz w:val="24"/>
                <w:color w:val="000000"/>
              </w:rPr>
              <w:t>：</w:t>
            </w:r>
            <w:r>
              <w:rPr>
                <w:rFonts w:ascii="仿宋_GB2312" w:hAnsi="仿宋_GB2312" w:cs="仿宋_GB2312" w:eastAsia="仿宋_GB2312"/>
                <w:sz w:val="24"/>
              </w:rPr>
              <w:t>12小时*2（班次）</w:t>
            </w:r>
          </w:p>
          <w:p>
            <w:pPr>
              <w:pStyle w:val="null3"/>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：驾驶</w:t>
            </w:r>
            <w:r>
              <w:rPr>
                <w:rFonts w:ascii="仿宋_GB2312" w:hAnsi="仿宋_GB2312" w:cs="仿宋_GB2312" w:eastAsia="仿宋_GB2312"/>
                <w:sz w:val="24"/>
              </w:rPr>
              <w:t>车辆品牌：江铃</w:t>
            </w:r>
            <w:r>
              <w:rPr>
                <w:rFonts w:ascii="仿宋_GB2312" w:hAnsi="仿宋_GB2312" w:cs="仿宋_GB2312" w:eastAsia="仿宋_GB2312"/>
                <w:sz w:val="24"/>
              </w:rPr>
              <w:t>；</w:t>
            </w:r>
            <w:r>
              <w:rPr>
                <w:rFonts w:ascii="仿宋_GB2312" w:hAnsi="仿宋_GB2312" w:cs="仿宋_GB2312" w:eastAsia="仿宋_GB2312"/>
                <w:sz w:val="24"/>
              </w:rPr>
              <w:t>车身颜色：白色</w:t>
            </w:r>
            <w:r>
              <w:rPr>
                <w:rFonts w:ascii="仿宋_GB2312" w:hAnsi="仿宋_GB2312" w:cs="仿宋_GB2312" w:eastAsia="仿宋_GB2312"/>
                <w:sz w:val="24"/>
              </w:rPr>
              <w:t>；</w:t>
            </w:r>
            <w:r>
              <w:rPr>
                <w:rFonts w:ascii="仿宋_GB2312" w:hAnsi="仿宋_GB2312" w:cs="仿宋_GB2312" w:eastAsia="仿宋_GB2312"/>
                <w:sz w:val="24"/>
              </w:rPr>
              <w:t>车牌号：陕</w:t>
            </w:r>
            <w:r>
              <w:rPr>
                <w:rFonts w:ascii="仿宋_GB2312" w:hAnsi="仿宋_GB2312" w:cs="仿宋_GB2312" w:eastAsia="仿宋_GB2312"/>
                <w:sz w:val="24"/>
              </w:rPr>
              <w:t xml:space="preserve">A03T9H </w:t>
            </w:r>
            <w:r>
              <w:rPr>
                <w:rFonts w:ascii="仿宋_GB2312" w:hAnsi="仿宋_GB2312" w:cs="仿宋_GB2312" w:eastAsia="仿宋_GB2312"/>
                <w:sz w:val="24"/>
              </w:rPr>
              <w:t>；</w:t>
            </w:r>
            <w:r>
              <w:rPr>
                <w:rFonts w:ascii="仿宋_GB2312" w:hAnsi="仿宋_GB2312" w:cs="仿宋_GB2312" w:eastAsia="仿宋_GB2312"/>
                <w:sz w:val="24"/>
              </w:rPr>
              <w:t>核载人数：</w:t>
            </w:r>
            <w:r>
              <w:rPr>
                <w:rFonts w:ascii="仿宋_GB2312" w:hAnsi="仿宋_GB2312" w:cs="仿宋_GB2312" w:eastAsia="仿宋_GB2312"/>
                <w:sz w:val="24"/>
              </w:rPr>
              <w:t>6人</w:t>
            </w:r>
            <w:r>
              <w:rPr>
                <w:rFonts w:ascii="仿宋_GB2312" w:hAnsi="仿宋_GB2312" w:cs="仿宋_GB2312" w:eastAsia="仿宋_GB2312"/>
                <w:sz w:val="24"/>
              </w:rPr>
              <w:t>；</w:t>
            </w:r>
            <w:r>
              <w:rPr>
                <w:rFonts w:ascii="仿宋_GB2312" w:hAnsi="仿宋_GB2312" w:cs="仿宋_GB2312" w:eastAsia="仿宋_GB2312"/>
                <w:sz w:val="24"/>
              </w:rPr>
              <w:t>车辆类型：商务车（</w:t>
            </w:r>
            <w:r>
              <w:rPr>
                <w:rFonts w:ascii="仿宋_GB2312" w:hAnsi="仿宋_GB2312" w:cs="仿宋_GB2312" w:eastAsia="仿宋_GB2312"/>
                <w:sz w:val="24"/>
              </w:rPr>
              <w:t>6-9座）</w:t>
            </w:r>
            <w:r>
              <w:rPr>
                <w:rFonts w:ascii="仿宋_GB2312" w:hAnsi="仿宋_GB2312" w:cs="仿宋_GB2312" w:eastAsia="仿宋_GB2312"/>
                <w:sz w:val="24"/>
              </w:rPr>
              <w:t>。</w:t>
            </w:r>
            <w:r>
              <w:rPr>
                <w:rFonts w:ascii="仿宋_GB2312" w:hAnsi="仿宋_GB2312" w:cs="仿宋_GB2312" w:eastAsia="仿宋_GB2312"/>
                <w:sz w:val="24"/>
              </w:rPr>
              <w:t>为受助人员提供车辆保障服务，负责救助车辆的安全驾驶、维护保养、车辆年审等工作，服从安排，积极配合做好街面巡查救助、护送就医、返乡等服务。每天分</w:t>
            </w:r>
            <w:r>
              <w:rPr>
                <w:rFonts w:ascii="仿宋_GB2312" w:hAnsi="仿宋_GB2312" w:cs="仿宋_GB2312" w:eastAsia="仿宋_GB2312"/>
                <w:sz w:val="24"/>
              </w:rPr>
              <w:t>2个班次，每班次至少需要1名工作人员在站内值守。</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主动救助、入站检查、值班接待、日常照料、系统维护、巡查护送</w:t>
            </w:r>
          </w:p>
          <w:p>
            <w:pPr>
              <w:pStyle w:val="null3"/>
              <w:jc w:val="both"/>
            </w:pPr>
            <w:r>
              <w:rPr>
                <w:rFonts w:ascii="仿宋_GB2312" w:hAnsi="仿宋_GB2312" w:cs="仿宋_GB2312" w:eastAsia="仿宋_GB2312"/>
                <w:sz w:val="24"/>
                <w:color w:val="000000"/>
              </w:rPr>
              <w:t>日服务时效</w:t>
            </w:r>
            <w:r>
              <w:rPr>
                <w:rFonts w:ascii="仿宋_GB2312" w:hAnsi="仿宋_GB2312" w:cs="仿宋_GB2312" w:eastAsia="仿宋_GB2312"/>
                <w:sz w:val="24"/>
                <w:color w:val="000000"/>
              </w:rPr>
              <w:t>：</w:t>
            </w:r>
            <w:r>
              <w:rPr>
                <w:rFonts w:ascii="仿宋_GB2312" w:hAnsi="仿宋_GB2312" w:cs="仿宋_GB2312" w:eastAsia="仿宋_GB2312"/>
                <w:sz w:val="24"/>
              </w:rPr>
              <w:t>8小时*3（班次）</w:t>
            </w:r>
          </w:p>
          <w:p>
            <w:pPr>
              <w:pStyle w:val="null3"/>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w:t>
            </w:r>
            <w:r>
              <w:rPr>
                <w:rFonts w:ascii="仿宋_GB2312" w:hAnsi="仿宋_GB2312" w:cs="仿宋_GB2312" w:eastAsia="仿宋_GB2312"/>
                <w:sz w:val="24"/>
              </w:rPr>
              <w:t>提供</w:t>
            </w:r>
            <w:r>
              <w:rPr>
                <w:rFonts w:ascii="仿宋_GB2312" w:hAnsi="仿宋_GB2312" w:cs="仿宋_GB2312" w:eastAsia="仿宋_GB2312"/>
                <w:sz w:val="24"/>
              </w:rPr>
              <w:t>365 天 24 小时不间断服务，每天分3个班次，每班次至少需要1名工作人员，工作内容涵盖街面临时求助人员救助、日常与极端天气街头主动救助、护送特殊受助人员就医返乡、接待各类求助情况并处置，负责流浪乞讨人员安检、身份查询、全国信息系统管理，以及受助人员站内照料、生活护理、信息录入统计等全方位工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防疫消杀、安全保障</w:t>
            </w:r>
          </w:p>
          <w:p>
            <w:pPr>
              <w:pStyle w:val="null3"/>
              <w:jc w:val="both"/>
            </w:pPr>
            <w:r>
              <w:rPr>
                <w:rFonts w:ascii="仿宋_GB2312" w:hAnsi="仿宋_GB2312" w:cs="仿宋_GB2312" w:eastAsia="仿宋_GB2312"/>
                <w:sz w:val="24"/>
                <w:color w:val="000000"/>
              </w:rPr>
              <w:t>日服务时效</w:t>
            </w:r>
            <w:r>
              <w:rPr>
                <w:rFonts w:ascii="仿宋_GB2312" w:hAnsi="仿宋_GB2312" w:cs="仿宋_GB2312" w:eastAsia="仿宋_GB2312"/>
                <w:sz w:val="24"/>
                <w:color w:val="000000"/>
              </w:rPr>
              <w:t>：</w:t>
            </w:r>
            <w:r>
              <w:rPr>
                <w:rFonts w:ascii="仿宋_GB2312" w:hAnsi="仿宋_GB2312" w:cs="仿宋_GB2312" w:eastAsia="仿宋_GB2312"/>
                <w:sz w:val="24"/>
              </w:rPr>
              <w:t>8小时*3（班次）</w:t>
            </w:r>
          </w:p>
          <w:p>
            <w:pPr>
              <w:pStyle w:val="null3"/>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w:t>
            </w:r>
            <w:r>
              <w:rPr>
                <w:rFonts w:ascii="仿宋_GB2312" w:hAnsi="仿宋_GB2312" w:cs="仿宋_GB2312" w:eastAsia="仿宋_GB2312"/>
                <w:sz w:val="24"/>
              </w:rPr>
              <w:t>1.防疫消杀：需每日定时对救助站的各个区域，包括接待大厅、救助区等进行全面消杀。采用专业消毒药剂，对地面、墙壁、门窗、桌椅等进行喷洒与擦拭。在接收新的救助人员时，要对其随身物品进行消毒处理，避免病菌携带入站。2.安全保障：提供365*24小时（每天分3个班次，每班次至少需要1名工作人员）安全巡查及进出管理登记等安保工作，以保障救助站的秩序井然有序，有特殊情况及时通知管理人员，防止发生极端事件。协助管理人员做好危险物品的检查工作，严禁易燃易爆、管制刀具等危险品进入服务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卫生清洁</w:t>
            </w:r>
          </w:p>
          <w:p>
            <w:pPr>
              <w:pStyle w:val="null3"/>
              <w:jc w:val="both"/>
            </w:pPr>
            <w:r>
              <w:rPr>
                <w:rFonts w:ascii="仿宋_GB2312" w:hAnsi="仿宋_GB2312" w:cs="仿宋_GB2312" w:eastAsia="仿宋_GB2312"/>
                <w:sz w:val="24"/>
                <w:color w:val="000000"/>
              </w:rPr>
              <w:t>日服务时效</w:t>
            </w:r>
            <w:r>
              <w:rPr>
                <w:rFonts w:ascii="仿宋_GB2312" w:hAnsi="仿宋_GB2312" w:cs="仿宋_GB2312" w:eastAsia="仿宋_GB2312"/>
                <w:sz w:val="24"/>
                <w:color w:val="000000"/>
              </w:rPr>
              <w:t>：</w:t>
            </w:r>
            <w:r>
              <w:rPr>
                <w:rFonts w:ascii="仿宋_GB2312" w:hAnsi="仿宋_GB2312" w:cs="仿宋_GB2312" w:eastAsia="仿宋_GB2312"/>
                <w:sz w:val="24"/>
              </w:rPr>
              <w:t>4小时</w:t>
            </w:r>
          </w:p>
          <w:p>
            <w:pPr>
              <w:pStyle w:val="null3"/>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w:t>
            </w:r>
            <w:r>
              <w:rPr>
                <w:rFonts w:ascii="仿宋_GB2312" w:hAnsi="仿宋_GB2312" w:cs="仿宋_GB2312" w:eastAsia="仿宋_GB2312"/>
                <w:sz w:val="24"/>
              </w:rPr>
              <w:t>每日对受助人员居室及活动区域进行清理、消毒，确保救助对象个人卫生和救助环境清洁，脏湿被褥及时换洗，做到物品摆放整齐、干净、无异味。站内、院内卫生环境及时打扫等。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饮食加工</w:t>
            </w:r>
          </w:p>
          <w:p>
            <w:pPr>
              <w:pStyle w:val="null3"/>
              <w:jc w:val="both"/>
            </w:pPr>
            <w:r>
              <w:rPr>
                <w:rFonts w:ascii="仿宋_GB2312" w:hAnsi="仿宋_GB2312" w:cs="仿宋_GB2312" w:eastAsia="仿宋_GB2312"/>
                <w:sz w:val="24"/>
                <w:color w:val="000000"/>
              </w:rPr>
              <w:t>日服务时效</w:t>
            </w:r>
            <w:r>
              <w:rPr>
                <w:rFonts w:ascii="仿宋_GB2312" w:hAnsi="仿宋_GB2312" w:cs="仿宋_GB2312" w:eastAsia="仿宋_GB2312"/>
                <w:sz w:val="24"/>
                <w:color w:val="000000"/>
              </w:rPr>
              <w:t>：</w:t>
            </w:r>
            <w:r>
              <w:rPr>
                <w:rFonts w:ascii="仿宋_GB2312" w:hAnsi="仿宋_GB2312" w:cs="仿宋_GB2312" w:eastAsia="仿宋_GB2312"/>
                <w:sz w:val="24"/>
              </w:rPr>
              <w:t>8小时</w:t>
            </w:r>
          </w:p>
          <w:p>
            <w:pPr>
              <w:pStyle w:val="null3"/>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w:t>
            </w:r>
            <w:r>
              <w:rPr>
                <w:rFonts w:ascii="仿宋_GB2312" w:hAnsi="仿宋_GB2312" w:cs="仿宋_GB2312" w:eastAsia="仿宋_GB2312"/>
                <w:sz w:val="24"/>
              </w:rPr>
              <w:t>为站内受助人员提供日常的饭菜加工服务，米、面、油、肉、蛋、蔬菜采购由救助站安排专人负责，炊事员应热爱炊事行业，每日按照要求按量加工饭菜，避免浪费，负责操作间的卫生及饭菜质量，按时开饭。</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管理费、意外保险及税金等</w:t>
            </w:r>
          </w:p>
          <w:p>
            <w:pPr>
              <w:pStyle w:val="null3"/>
              <w:jc w:val="both"/>
            </w:pPr>
            <w:r>
              <w:rPr>
                <w:rFonts w:ascii="仿宋_GB2312" w:hAnsi="仿宋_GB2312" w:cs="仿宋_GB2312" w:eastAsia="仿宋_GB2312"/>
                <w:sz w:val="24"/>
                <w:color w:val="000000"/>
              </w:rPr>
              <w:t>服务内容</w:t>
            </w:r>
            <w:r>
              <w:rPr>
                <w:rFonts w:ascii="仿宋_GB2312" w:hAnsi="仿宋_GB2312" w:cs="仿宋_GB2312" w:eastAsia="仿宋_GB2312"/>
                <w:sz w:val="24"/>
                <w:color w:val="000000"/>
              </w:rPr>
              <w:t>：</w:t>
            </w:r>
            <w:r>
              <w:rPr>
                <w:rFonts w:ascii="仿宋_GB2312" w:hAnsi="仿宋_GB2312" w:cs="仿宋_GB2312" w:eastAsia="仿宋_GB2312"/>
                <w:sz w:val="24"/>
              </w:rPr>
              <w:t>1.为卫生清洁人员购买意外保险</w:t>
            </w:r>
            <w:r>
              <w:rPr>
                <w:rFonts w:ascii="仿宋_GB2312" w:hAnsi="仿宋_GB2312" w:cs="仿宋_GB2312" w:eastAsia="仿宋_GB2312"/>
                <w:sz w:val="24"/>
              </w:rPr>
              <w:t>；</w:t>
            </w:r>
            <w:r>
              <w:rPr>
                <w:rFonts w:ascii="仿宋_GB2312" w:hAnsi="仿宋_GB2312" w:cs="仿宋_GB2312" w:eastAsia="仿宋_GB2312"/>
                <w:sz w:val="24"/>
              </w:rPr>
              <w:t>2.项目相关其他管理费用。</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二、技术要求</w:t>
            </w:r>
          </w:p>
        </w:tc>
        <w:tc>
          <w:tcPr>
            <w:tcW w:type="dxa" w:w="2076"/>
          </w:tcPr>
          <w:p>
            <w:pPr>
              <w:pStyle w:val="null3"/>
              <w:jc w:val="both"/>
            </w:pPr>
            <w:r>
              <w:rPr>
                <w:rFonts w:ascii="仿宋_GB2312" w:hAnsi="仿宋_GB2312" w:cs="仿宋_GB2312" w:eastAsia="仿宋_GB2312"/>
                <w:sz w:val="24"/>
              </w:rPr>
              <w:t>根据省民政厅《关于积极推行政府购买服务加强基层社会救助经办能力的实施意见》和《关于印发困难群众救助补助资金管理办法的通知》</w:t>
            </w: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三、服务要求</w:t>
            </w:r>
          </w:p>
        </w:tc>
        <w:tc>
          <w:tcPr>
            <w:tcW w:type="dxa" w:w="2076"/>
          </w:tcPr>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人员要求</w:t>
            </w:r>
          </w:p>
          <w:p>
            <w:pPr>
              <w:pStyle w:val="null3"/>
              <w:ind w:firstLine="480"/>
              <w:jc w:val="both"/>
            </w:pPr>
            <w:r>
              <w:rPr>
                <w:rFonts w:ascii="仿宋_GB2312" w:hAnsi="仿宋_GB2312" w:cs="仿宋_GB2312" w:eastAsia="仿宋_GB2312"/>
                <w:sz w:val="24"/>
              </w:rPr>
              <w:t>工作人员主要负责流浪乞讨人员站内照料护理、救助信息录入，协助救助管理站开展救助服务、</w:t>
            </w:r>
            <w:r>
              <w:rPr>
                <w:rFonts w:ascii="仿宋_GB2312" w:hAnsi="仿宋_GB2312" w:cs="仿宋_GB2312" w:eastAsia="仿宋_GB2312"/>
                <w:sz w:val="24"/>
              </w:rPr>
              <w:t>24小时值班、街面巡查</w:t>
            </w:r>
            <w:r>
              <w:rPr>
                <w:rFonts w:ascii="仿宋_GB2312" w:hAnsi="仿宋_GB2312" w:cs="仿宋_GB2312" w:eastAsia="仿宋_GB2312"/>
                <w:sz w:val="24"/>
              </w:rPr>
              <w:t>及其他临时性服务工作</w:t>
            </w:r>
            <w:r>
              <w:rPr>
                <w:rFonts w:ascii="仿宋_GB2312" w:hAnsi="仿宋_GB2312" w:cs="仿宋_GB2312" w:eastAsia="仿宋_GB2312"/>
                <w:sz w:val="24"/>
              </w:rPr>
              <w:t>;保洁人员负责区域卫生，确保负责区域干净整洁，物品摆放有序，随时在工作区域内进行巡查，及时清理区域卫生，不留死角。安保人员主要负责救助管理站安全保卫、日常来访登记、夜间救助及站内夜间巡查等工作。</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培训要求</w:t>
            </w:r>
          </w:p>
          <w:p>
            <w:pPr>
              <w:pStyle w:val="null3"/>
              <w:ind w:firstLine="480"/>
              <w:jc w:val="both"/>
            </w:pPr>
            <w:r>
              <w:rPr>
                <w:rFonts w:ascii="仿宋_GB2312" w:hAnsi="仿宋_GB2312" w:cs="仿宋_GB2312" w:eastAsia="仿宋_GB2312"/>
                <w:sz w:val="24"/>
              </w:rPr>
              <w:t>所有服务人员上岗前必须经过岗前资格培训，经采购人审核通过后方可上岗</w:t>
            </w:r>
            <w:r>
              <w:rPr>
                <w:rFonts w:ascii="仿宋_GB2312" w:hAnsi="仿宋_GB2312" w:cs="仿宋_GB2312" w:eastAsia="仿宋_GB2312"/>
                <w:sz w:val="24"/>
              </w:rPr>
              <w:t>:后期定时对各岗位人员进行教育培训，不断提高其工作能力和处理突发事件的能力，同时妥善安排服务人员的接待、在岗、离岗工作。</w:t>
            </w:r>
          </w:p>
          <w:p>
            <w:pPr>
              <w:pStyle w:val="null3"/>
              <w:jc w:val="both"/>
            </w:pPr>
            <w:r>
              <w:rPr>
                <w:rFonts w:ascii="仿宋_GB2312" w:hAnsi="仿宋_GB2312" w:cs="仿宋_GB2312" w:eastAsia="仿宋_GB2312"/>
                <w:sz w:val="24"/>
              </w:rPr>
              <w:t>如果成交供应商派遣服务本项目的服务人员不能履行岗位职责的，救助管理站有权要求成交供应商及时更换能够胜任岗位需求的服务人员。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（一）成交供应商配合采购人验收；若存在验收费用，由乙方自行承担。 （二）合同所有内容完成后，由乙方进行自检，合格后，准备验收文件，并书面通知甲方验收。甲方根据采购合同约定，对合同内容进行验收。 （三）验收依据： 1.本合同及附加文本； 2.磋商文件、成交供应商的响应文件及澄清函；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一季度结束后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二季度结束后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三季度结束后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四季度结束后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（一）乙方交付的提供的服务不符合磋商文件、响应文件或本合同规定的，甲方有权拒收，并且乙方须向甲方支付本合同总价5%的违约金。 （二）乙方未能按本合同规定的时间提供服务的，从逾期之日起每日按本合同总价0.5‰的数额向甲方支付违约金；逾期半个月以上的，甲方有权终止合同，由此造成的甲方经济损失由乙方承担。 （三）甲方无正当理由拒接受服务，到期拒付服务款项的，甲方向乙方偿付本合同总金额5%的违约金。甲方逾期付款，则每日按本合同总价的0.5‰向乙方偿付违约金。 （四）其它违约责任按《中华人民共和国民法典》处理。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供应商应自响应文件递交截止时间起至评审结束保持在线状态。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注册登记凭证</w:t>
            </w:r>
          </w:p>
        </w:tc>
        <w:tc>
          <w:tcPr>
            <w:tcW w:type="dxa" w:w="3322"/>
          </w:tcPr>
          <w:p>
            <w:pPr>
              <w:pStyle w:val="null3"/>
            </w:pPr>
            <w:r>
              <w:rPr>
                <w:rFonts w:ascii="仿宋_GB2312" w:hAnsi="仿宋_GB2312" w:cs="仿宋_GB2312" w:eastAsia="仿宋_GB2312"/>
              </w:rPr>
              <w:t>营业执照/其他组织经营的合法凭证/自然人的提供身份证明文件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提供2023年或2024年任一年度经审计的财务报告/或其基本存款账户开户银行出具的资信证明及 基本存款账户开户许可证（基本账户信息表）/或财政部门认可的政府采购专业担保机构出具的投标担保函（以上三种形式的资料提供任何一种即可）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履约承诺.docx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法定代表人授权书及被授权人身份证（法定代表人直接参加投标的须提供其法人身份证），非法人单位参照执行</w:t>
            </w:r>
          </w:p>
        </w:tc>
        <w:tc>
          <w:tcPr>
            <w:tcW w:type="dxa" w:w="1661"/>
          </w:tcPr>
          <w:p>
            <w:pPr>
              <w:pStyle w:val="null3"/>
            </w:pPr>
            <w:r>
              <w:rPr>
                <w:rFonts w:ascii="仿宋_GB2312" w:hAnsi="仿宋_GB2312" w:cs="仿宋_GB2312" w:eastAsia="仿宋_GB2312"/>
              </w:rPr>
              <w:t>法定代表人授权委托书.docx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响应文件格式要求签字盖章的，须按要求签字或盖章</w:t>
            </w:r>
          </w:p>
        </w:tc>
        <w:tc>
          <w:tcPr>
            <w:tcW w:type="dxa" w:w="1661"/>
          </w:tcPr>
          <w:p>
            <w:pPr>
              <w:pStyle w:val="null3"/>
            </w:pPr>
            <w:r>
              <w:rPr>
                <w:rFonts w:ascii="仿宋_GB2312" w:hAnsi="仿宋_GB2312" w:cs="仿宋_GB2312" w:eastAsia="仿宋_GB2312"/>
              </w:rPr>
              <w:t>响应文件封面 信用声明.docx 服务内容及服务邀请应答表 中小企业声明函 履约承诺.docx 商务应答表 标的清单 供应商应提交的相关资格证明材料 法定代表人授权委托书.docx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应满足磋商文件中服务期的规定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应满足磋商文件中有效期的规定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 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详细评审80.0000分</w:t>
            </w:r>
          </w:p>
          <w:p>
            <w:pPr>
              <w:pStyle w:val="null3"/>
            </w:pPr>
            <w:r>
              <w:rPr>
                <w:rFonts w:ascii="仿宋_GB2312" w:hAnsi="仿宋_GB2312" w:cs="仿宋_GB2312" w:eastAsia="仿宋_GB2312"/>
              </w:rPr>
              <w:t>报价得分20.0000分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1、针对本项目的采购要求，对供应商的总体服务方案的完整性、详细程度、合理性及可行性进行评审 , 根据其响应情况横向比较打分。方案制定详细、针对性强、可行性 强计[15～20分]，方案制定较详细 、针对性较强计[10～15分），方案制定一般、可行性一般计[5～10分），方案欠缺周全，可行性差计[0～5分）。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工作总体安排</w:t>
            </w:r>
          </w:p>
        </w:tc>
        <w:tc>
          <w:tcPr>
            <w:tcW w:type="dxa" w:w="2492"/>
          </w:tcPr>
          <w:p>
            <w:pPr>
              <w:pStyle w:val="null3"/>
            </w:pPr>
            <w:r>
              <w:rPr>
                <w:rFonts w:ascii="仿宋_GB2312" w:hAnsi="仿宋_GB2312" w:cs="仿宋_GB2312" w:eastAsia="仿宋_GB2312"/>
              </w:rPr>
              <w:t>工作总体计划安排思路清晰、合理 、可行，对项目实施具有较强的指导作用的得（10～15]分； 思路基本清晰、具有一定的合理性和可行性，对项目实施可起到一定指导作用的得（5～10]分； 思路不清晰 、合理性和可行性较差，影响项目实施的得[0～5]分。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重点难点内容分析透彻、明确，多元化，科学性、合理性强的得（8～10]分； 重点难点内容分析较透彻， 单一，科学合理性一般的得（3～8]分 ; 重点难点内容分析不准确的得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供应商针对本项目的服务承诺的合理、可行，能及时响应采购人的服务要求，有针对本项目的有利于采购人的合理化建设性意见计 （8～10]分， 服务承诺的较合理，有合理化建议，能响应采购人的服务要求 计（3～8]分， 服务承诺不合理，无合理化建议，不能响应采购人的服务要求计[0～3]分。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供应商提供项目团队的人员数量、专业性、职称、经验进行赋分。 人员专业程度高、经验丰富、资料齐全赋（8～10]分； 人员专业程度一般、经验较为丰富赋（3～8]分； 人员专业程度较差、经验一般赋[0～3]分。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质量保证措施全面，细致，质量体系健全，工作程序清晰，安排科学 , 保证措施有力计（8～10]分， 质量保证措施较全面，质量体系比较健全，工作程序，安排，保证措施 一般计（3～8]分，保证措施较差计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供应商需提供2021年1月1日至今类似项目业绩，投标文件中附有其业绩证明材料，业绩以合同文件为依据（复印件加盖公章），每提供一份计2.5分，满分5分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以最终报价进行评审。1.最低评审价为评审基准价，得20分。 2.按 （评审基准价/评审价×20）的公式计算价格得分。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详见附件：履约承诺.docx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