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版本号：THXZB2025-106020251030001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阎良区2025年度国土变更调查(三次)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THXZB2025-1060</w:t>
      </w:r>
      <w:r>
        <w:br/>
      </w:r>
      <w:r>
        <w:br/>
      </w:r>
      <w:r>
        <w:br/>
      </w:r>
    </w:p>
    <w:p>
      <w:pPr>
        <w:pStyle w:val="null3"/>
        <w:jc w:val="center"/>
        <w:outlineLvl w:val="2"/>
      </w:pPr>
      <w:r>
        <w:rPr>
          <w:rFonts w:ascii="仿宋_GB2312" w:hAnsi="仿宋_GB2312" w:cs="仿宋_GB2312" w:eastAsia="仿宋_GB2312"/>
          <w:sz w:val="28"/>
          <w:b/>
        </w:rPr>
        <w:t>西安市自然资源和规划局阎良分局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西安市自然资源和规划局阎良分局</w:t>
      </w:r>
      <w:r>
        <w:rPr>
          <w:rFonts w:ascii="仿宋_GB2312" w:hAnsi="仿宋_GB2312" w:cs="仿宋_GB2312" w:eastAsia="仿宋_GB2312"/>
        </w:rPr>
        <w:t>委托，拟对</w:t>
      </w:r>
      <w:r>
        <w:rPr>
          <w:rFonts w:ascii="仿宋_GB2312" w:hAnsi="仿宋_GB2312" w:cs="仿宋_GB2312" w:eastAsia="仿宋_GB2312"/>
        </w:rPr>
        <w:t>阎良区2025年度国土变更调查(三次)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THXZB2025-1060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阎良区2025年度国土变更调查(三次)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保持第三次全国国土调查成果的现势性，按照《土地调查条例》、《土地调查条例实施办法》及《国土变更调查技术规程》等要求，利用最新卫星遥感影像，通过区级实地调查，省级、国家级核查，开展阎良区2025年度国土变更调查工作，掌握2025年度土地利用的变化情况，进一步夯实国土调查成果作为自然资源管理工作底数、底版和底图的工作基础，扎实做好耕地保护和粮食安全责任制考核的数据准备，有效支撑高质量发展和国土空间治理现代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被授权人身份证明：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p>
      <w:pPr>
        <w:pStyle w:val="null3"/>
      </w:pPr>
      <w:r>
        <w:rPr>
          <w:rFonts w:ascii="仿宋_GB2312" w:hAnsi="仿宋_GB2312" w:cs="仿宋_GB2312" w:eastAsia="仿宋_GB2312"/>
        </w:rPr>
        <w:t>3、公司资质：供应商须具备测绘乙级及以上资质，供应商需在项目电子化交易系统中按要求上传相应证明文件并进行电子签章；</w:t>
      </w:r>
    </w:p>
    <w:p>
      <w:pPr>
        <w:pStyle w:val="null3"/>
      </w:pPr>
      <w:r>
        <w:rPr>
          <w:rFonts w:ascii="仿宋_GB2312" w:hAnsi="仿宋_GB2312" w:cs="仿宋_GB2312" w:eastAsia="仿宋_GB2312"/>
        </w:rPr>
        <w:t>4、项目负责人要求：项目负责人具有测绘专业高级技术职称或注册测绘师资格证书，供应商需在项目电子化交易系统中按要求上传相应证明文件并进行电子签章；</w:t>
      </w:r>
    </w:p>
    <w:p>
      <w:pPr>
        <w:pStyle w:val="null3"/>
      </w:pPr>
      <w:r>
        <w:rPr>
          <w:rFonts w:ascii="仿宋_GB2312" w:hAnsi="仿宋_GB2312" w:cs="仿宋_GB2312" w:eastAsia="仿宋_GB2312"/>
        </w:rPr>
        <w:t>5、信用查询：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西安市自然资源和规划局阎良分局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阎良区凤凰东路3号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杨西宁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029-86868301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代理服务费收费标准：参照国家发展和改革委员会《招标代理服务收费暂行办法》（计价格〔2002〕1980号）和国家发展改革委（发改价格〔2003〕857号）相关文件计取，差额累进法进行计算。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西安市自然资源和规划局阎良分局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西安市自然资源和规划局阎良分局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西安市自然资源和规划局阎良分局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以通过市、省、部级检查作为质量验收的标准。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联系电话：029-88210791转806</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持第三次全国国土调查成果的现势性，按照《土地调查条例》、《土地调查条例实施办法》及《国土变更调查技术规程》等要求，利用最新卫星遥感影像，通过区级实地调查，省级、国家级核查，开展阎良区2025年度国土变更调查工作，掌握2025年度土地利用的变化情况，进一步夯实国土调查成果作为自然资源管理工作底数、底版和底图的工作基础，扎实做好耕地保护和粮食安全责任制考核的数据准备，有效支撑高质量发展和国土空间治理现代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阎良区2025年度国土变更调查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标的名称：阎良区2025年度国土变更调查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（一）工作范围</w:t>
            </w:r>
          </w:p>
          <w:p>
            <w:pPr>
              <w:pStyle w:val="null3"/>
              <w:jc w:val="both"/>
            </w:pPr>
            <w:r>
              <w:rPr>
                <w:rFonts w:ascii="仿宋_GB2312" w:hAnsi="仿宋_GB2312" w:cs="仿宋_GB2312" w:eastAsia="仿宋_GB2312"/>
                <w:sz w:val="20"/>
              </w:rPr>
              <w:t>阎良区（自管区）范围内国家、省、市下发的监测图斑外业举证、数据库修改等，并将阎良区全区数据进行汇总上报市、省进行核查。</w:t>
            </w:r>
          </w:p>
          <w:p>
            <w:pPr>
              <w:pStyle w:val="null3"/>
              <w:jc w:val="both"/>
            </w:pPr>
            <w:r>
              <w:rPr>
                <w:rFonts w:ascii="仿宋_GB2312" w:hAnsi="仿宋_GB2312" w:cs="仿宋_GB2312" w:eastAsia="仿宋_GB2312"/>
                <w:sz w:val="20"/>
              </w:rPr>
              <w:t>（二）工作内容</w:t>
            </w:r>
          </w:p>
          <w:p>
            <w:pPr>
              <w:pStyle w:val="null3"/>
              <w:jc w:val="both"/>
            </w:pPr>
            <w:r>
              <w:rPr>
                <w:rFonts w:ascii="仿宋_GB2312" w:hAnsi="仿宋_GB2312" w:cs="仿宋_GB2312" w:eastAsia="仿宋_GB2312"/>
                <w:sz w:val="20"/>
              </w:rPr>
              <w:t>按照国家、省、市的统一要求，在阎良区</w:t>
            </w:r>
            <w:r>
              <w:rPr>
                <w:rFonts w:ascii="仿宋_GB2312" w:hAnsi="仿宋_GB2312" w:cs="仿宋_GB2312" w:eastAsia="仿宋_GB2312"/>
                <w:sz w:val="20"/>
              </w:rPr>
              <w:t>2024年度国土变更调查成果基础上，根据陕西省自然资源厅收集下发的2025年度遥感监测成果、各类用地管理信息及自行补充提取的土地利用变化情况，制作外业调查工作底图。以实地现状认定地类为原则，全面查清工作底图上每一块变化图斑的地类、面积、属性及单独图层信息的变化情况;对每个监测图斑进行逐一实地拍照举证。地类调查完成后结合日常变更成果，在2024年度国土调查数据库的基础上，更新阎良区国土调查数据库，形成年度变更增量包，逐级上报。经市、省、国家逐级地类核查和全面检查通过后，形成阎良区2025年度变更调查数据库成果。</w:t>
            </w:r>
          </w:p>
          <w:p>
            <w:pPr>
              <w:pStyle w:val="null3"/>
              <w:jc w:val="both"/>
            </w:pPr>
            <w:r>
              <w:rPr>
                <w:rFonts w:ascii="仿宋_GB2312" w:hAnsi="仿宋_GB2312" w:cs="仿宋_GB2312" w:eastAsia="仿宋_GB2312"/>
                <w:sz w:val="20"/>
              </w:rPr>
              <w:t>结合</w:t>
            </w:r>
            <w:r>
              <w:rPr>
                <w:rFonts w:ascii="仿宋_GB2312" w:hAnsi="仿宋_GB2312" w:cs="仿宋_GB2312" w:eastAsia="仿宋_GB2312"/>
                <w:sz w:val="20"/>
              </w:rPr>
              <w:t>2024年度国土变更调查工作，同步开展对耕地特别是永久基本农田转为非耕地的情况进行全面排查，分析变化情况和原因，对不合理的耕地流出问题及时组织整改。要以“三区三线”成果为基础，重点梳理新增建设用地占用耕地、占用永久基本农田发展林果业和挖塘养鱼等情况，及时对违法违规用地等行为进行纠正和查处。</w:t>
            </w:r>
          </w:p>
          <w:p>
            <w:pPr>
              <w:pStyle w:val="null3"/>
              <w:jc w:val="both"/>
            </w:pPr>
            <w:r>
              <w:rPr>
                <w:rFonts w:ascii="仿宋_GB2312" w:hAnsi="仿宋_GB2312" w:cs="仿宋_GB2312" w:eastAsia="仿宋_GB2312"/>
                <w:sz w:val="20"/>
              </w:rPr>
              <w:t>以</w:t>
            </w:r>
            <w:r>
              <w:rPr>
                <w:rFonts w:ascii="仿宋_GB2312" w:hAnsi="仿宋_GB2312" w:cs="仿宋_GB2312" w:eastAsia="仿宋_GB2312"/>
                <w:sz w:val="20"/>
              </w:rPr>
              <w:t>2024年度耕地资源分区分类评价成果、2025年度国土变更调查成果为基础，结合2025年度土地综合整治、高标准农田建设等项目竣工验收资料,开展2025年度耕地资源分区分类评价工作，全面掌握全区年度内耕地资源质量变化情况。</w:t>
            </w:r>
          </w:p>
          <w:p>
            <w:pPr>
              <w:pStyle w:val="null3"/>
              <w:jc w:val="both"/>
            </w:pPr>
            <w:r>
              <w:rPr>
                <w:rFonts w:ascii="仿宋_GB2312" w:hAnsi="仿宋_GB2312" w:cs="仿宋_GB2312" w:eastAsia="仿宋_GB2312"/>
                <w:sz w:val="20"/>
              </w:rPr>
              <w:t>（三）工作成果</w:t>
            </w:r>
          </w:p>
          <w:p>
            <w:pPr>
              <w:pStyle w:val="null3"/>
              <w:jc w:val="both"/>
            </w:pPr>
            <w:r>
              <w:rPr>
                <w:rFonts w:ascii="仿宋_GB2312" w:hAnsi="仿宋_GB2312" w:cs="仿宋_GB2312" w:eastAsia="仿宋_GB2312"/>
                <w:sz w:val="20"/>
              </w:rPr>
              <w:t>1、遥感监测成果：包括遥感正射影像图、遥感监测图斑。</w:t>
            </w:r>
          </w:p>
          <w:p>
            <w:pPr>
              <w:pStyle w:val="null3"/>
              <w:jc w:val="both"/>
            </w:pPr>
            <w:r>
              <w:rPr>
                <w:rFonts w:ascii="仿宋_GB2312" w:hAnsi="仿宋_GB2312" w:cs="仿宋_GB2312" w:eastAsia="仿宋_GB2312"/>
                <w:sz w:val="20"/>
              </w:rPr>
              <w:t>2、外业调查成果：主要包括：外业调查图件、地物补测资料、图斑举证数据包（DB格式）。</w:t>
            </w:r>
          </w:p>
          <w:p>
            <w:pPr>
              <w:pStyle w:val="null3"/>
              <w:jc w:val="both"/>
            </w:pPr>
            <w:r>
              <w:rPr>
                <w:rFonts w:ascii="仿宋_GB2312" w:hAnsi="仿宋_GB2312" w:cs="仿宋_GB2312" w:eastAsia="仿宋_GB2312"/>
                <w:sz w:val="20"/>
              </w:rPr>
              <w:t>3、数据库成果：包括更新后的国土调查数据库；国土调查数据库更新数据包（含增量信息与统计报表，由数据库质检软件打包生成）。</w:t>
            </w:r>
          </w:p>
          <w:p>
            <w:pPr>
              <w:pStyle w:val="null3"/>
              <w:jc w:val="both"/>
            </w:pPr>
            <w:r>
              <w:rPr>
                <w:rFonts w:ascii="仿宋_GB2312" w:hAnsi="仿宋_GB2312" w:cs="仿宋_GB2312" w:eastAsia="仿宋_GB2312"/>
                <w:sz w:val="20"/>
              </w:rPr>
              <w:t>4、图斑信息核实各类报表（MDB格式）：包括遥感监测图斑信息核实记录表；跟踪图斑列表；举证信息表。</w:t>
            </w:r>
          </w:p>
          <w:p>
            <w:pPr>
              <w:pStyle w:val="null3"/>
              <w:jc w:val="both"/>
            </w:pPr>
            <w:r>
              <w:rPr>
                <w:rFonts w:ascii="仿宋_GB2312" w:hAnsi="仿宋_GB2312" w:cs="仿宋_GB2312" w:eastAsia="仿宋_GB2312"/>
                <w:sz w:val="20"/>
              </w:rPr>
              <w:t>5、文字成果：主要包括土地利用变化情况分析报告及各项专题报告。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西安市阎良区行政区域（不含航空基地管辖范围）</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以通过市、省、部级检查作为质量验收的标准。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成交供应商完成全部工作，通过国家检查后，根据实际图斑数量据实结算。</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1、本项目属性为服务 。2、本项目不专门面向中小企业。 3、成交供应商需在领取中标通知书时提供纸质响应文件正本壹份、副本贰份、电子版壹份（U盘壹份）。4.本项目报价形式为单价，单价最高限价为228.5元/个图斑（图斑包括日常变更监测图斑、年度变更监测图斑以及耕地资源质量分类图斑）。 5.付款方式：成交供应商完成全部工作，通过国家检查后，根据实际图斑数量据实结算。6.本项目最终结算金额不超过600000.00元预算金额。7、本项目所属行业为：其他未列明行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供应商特定资格证明文件.docx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供应商特定资格证明文件.docx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供应商需在项目电子化交易系统中按要求填写《供应商承诺书》完成承诺并进行电子签章。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法定代表人直接磋商须提交法定代表人证明书，法定代表人授权代表参加磋商的，须出具授权书、授权代表本单位的证明（授权代表提供有效的磋商截止时间前近半年连续三个月社保缴纳证明）， 供应商需在项目电子化交易系统中按要求填写并进行电子签章；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公司资质</w:t>
            </w:r>
          </w:p>
        </w:tc>
        <w:tc>
          <w:tcPr>
            <w:tcW w:type="dxa" w:w="3322"/>
          </w:tcPr>
          <w:p>
            <w:pPr>
              <w:pStyle w:val="null3"/>
            </w:pPr>
            <w:r>
              <w:rPr>
                <w:rFonts w:ascii="仿宋_GB2312" w:hAnsi="仿宋_GB2312" w:cs="仿宋_GB2312" w:eastAsia="仿宋_GB2312"/>
              </w:rPr>
              <w:t>供应商须具备测绘乙级及以上资质，供应商需在项目电子化交易系统中按要求上传相应证明文件并进行电子签章；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项目负责人要求</w:t>
            </w:r>
          </w:p>
        </w:tc>
        <w:tc>
          <w:tcPr>
            <w:tcW w:type="dxa" w:w="3322"/>
          </w:tcPr>
          <w:p>
            <w:pPr>
              <w:pStyle w:val="null3"/>
            </w:pPr>
            <w:r>
              <w:rPr>
                <w:rFonts w:ascii="仿宋_GB2312" w:hAnsi="仿宋_GB2312" w:cs="仿宋_GB2312" w:eastAsia="仿宋_GB2312"/>
              </w:rPr>
              <w:t>项目负责人具有测绘专业高级技术职称或注册测绘师资格证书，供应商需在项目电子化交易系统中按要求上传相应证明文件并进行电子签章；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www.creditchina.gov.cn）重大税收违法失信主体，未被列入“中国政府采购网”（www.ccgp.gov.cn）政府采购严重违法失信行为记录名单（此条无需提供，采购代理机构在评标现场查询）。</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磋商响应文件中项目名称、项目编号与本项目一致，无遗漏；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磋商报价符合唯一性要求；磋商报价未超出采购预算或采购最高限价；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磋商内容与要求</w:t>
            </w:r>
          </w:p>
        </w:tc>
        <w:tc>
          <w:tcPr>
            <w:tcW w:type="dxa" w:w="3322"/>
          </w:tcPr>
          <w:p>
            <w:pPr>
              <w:pStyle w:val="null3"/>
            </w:pPr>
            <w:r>
              <w:rPr>
                <w:rFonts w:ascii="仿宋_GB2312" w:hAnsi="仿宋_GB2312" w:cs="仿宋_GB2312" w:eastAsia="仿宋_GB2312"/>
              </w:rPr>
              <w:t>磋商内容未出现漏项；数量与要求相符；</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“无效磋商”的情形及未实质性响应磋商文件的情况</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供应商特定资格证明文件.docx 服务内容及服务邀请应答表 中小企业声明函 商务应答表 供应商应提交的相关资格证明材料 供应商承诺书.docx 响应文件封面 供应商需要说明的其他内容.docx 残疾人福利性单位声明函 服务方案 标的清单 供应商业绩.docx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5.0分，①～④项合计得20分。内容①～④项任意一项缺项扣5.0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磋商响应方案-1.工作方案.docx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磋商响应方案-2.应急处置方案.docx</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评审内容：①提供组织框架；②人员保障措施；③拟投入硬件设施情况。 评审依据：每一项内容描述详细，切实可行符合项目实际内容得4.0分，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磋商响应方案-3.项目组织.docx</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的重点、难点进行分析；②对本项目重点、难点的应对措施。评审依据：每一项内容描述详细，切实可行符合项目实际内容得5.0分，①～②项合计得10分。内容①～②项任意一项缺项扣5.0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磋商响应方案-4.重、难点分析的对策措施.docx</w:t>
            </w:r>
          </w:p>
        </w:tc>
      </w:tr>
      <w:tr>
        <w:tc>
          <w:tcPr>
            <w:tcW w:type="dxa" w:w="831"/>
            <w:vMerge/>
          </w:tcPr>
          <w:p/>
        </w:tc>
        <w:tc>
          <w:tcPr>
            <w:tcW w:type="dxa" w:w="1661"/>
          </w:tcPr>
          <w:p>
            <w:pPr>
              <w:pStyle w:val="null3"/>
            </w:pPr>
            <w:r>
              <w:rPr>
                <w:rFonts w:ascii="仿宋_GB2312" w:hAnsi="仿宋_GB2312" w:cs="仿宋_GB2312" w:eastAsia="仿宋_GB2312"/>
              </w:rPr>
              <w:t>工作制度及内控制度</w:t>
            </w:r>
          </w:p>
        </w:tc>
        <w:tc>
          <w:tcPr>
            <w:tcW w:type="dxa" w:w="2492"/>
          </w:tcPr>
          <w:p>
            <w:pPr>
              <w:pStyle w:val="null3"/>
            </w:pPr>
            <w:r>
              <w:rPr>
                <w:rFonts w:ascii="仿宋_GB2312" w:hAnsi="仿宋_GB2312" w:cs="仿宋_GB2312" w:eastAsia="仿宋_GB2312"/>
              </w:rPr>
              <w:t>评审内容：①工作制度；②内控制度。评审依据：每一项内容描述详细，切实可行符合项目实际内容得5.0分，①～②项合计得10分。内容①～②项任意一项缺项扣5.0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磋商响应方案-5.工作制度及内控制度.docx</w:t>
            </w:r>
          </w:p>
        </w:tc>
      </w:tr>
      <w:tr>
        <w:tc>
          <w:tcPr>
            <w:tcW w:type="dxa" w:w="831"/>
            <w:vMerge/>
          </w:tcPr>
          <w:p/>
        </w:tc>
        <w:tc>
          <w:tcPr>
            <w:tcW w:type="dxa" w:w="1661"/>
          </w:tcPr>
          <w:p>
            <w:pPr>
              <w:pStyle w:val="null3"/>
            </w:pPr>
            <w:r>
              <w:rPr>
                <w:rFonts w:ascii="仿宋_GB2312" w:hAnsi="仿宋_GB2312" w:cs="仿宋_GB2312" w:eastAsia="仿宋_GB2312"/>
              </w:rPr>
              <w:t>服务承诺及保密措施</w:t>
            </w:r>
          </w:p>
        </w:tc>
        <w:tc>
          <w:tcPr>
            <w:tcW w:type="dxa" w:w="2492"/>
          </w:tcPr>
          <w:p>
            <w:pPr>
              <w:pStyle w:val="null3"/>
            </w:pPr>
            <w:r>
              <w:rPr>
                <w:rFonts w:ascii="仿宋_GB2312" w:hAnsi="仿宋_GB2312" w:cs="仿宋_GB2312" w:eastAsia="仿宋_GB2312"/>
              </w:rPr>
              <w:t>评审内容：①服务承诺；②保密措施。③服务保证；④合理化建议。评审依据：每一项内容描述详细，切实可行符合项目实际内容得4.0分，①～④项合计得16分。内容①～④项任意一项缺项扣4.0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磋商响应方案-6.服务承诺及保密措施.docx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2022年10月1日至今的类似项目业绩，每提供 1 个业绩得2分，满分为6分（提供合同复印件或成交（中标）通知书加盖公章作为证明材料），未提供不得分。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详见附件：供应商需要说明的其他内容.docx</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详见附件：磋商响应方案-1.工作方案.docx</w:t>
      </w:r>
    </w:p>
    <w:p>
      <w:pPr>
        <w:pStyle w:val="null3"/>
        <w:ind w:firstLine="960"/>
      </w:pPr>
      <w:r>
        <w:rPr>
          <w:rFonts w:ascii="仿宋_GB2312" w:hAnsi="仿宋_GB2312" w:cs="仿宋_GB2312" w:eastAsia="仿宋_GB2312"/>
        </w:rPr>
        <w:t>详见附件：磋商响应方案-2.应急处置方案.docx</w:t>
      </w:r>
    </w:p>
    <w:p>
      <w:pPr>
        <w:pStyle w:val="null3"/>
        <w:ind w:firstLine="960"/>
      </w:pPr>
      <w:r>
        <w:rPr>
          <w:rFonts w:ascii="仿宋_GB2312" w:hAnsi="仿宋_GB2312" w:cs="仿宋_GB2312" w:eastAsia="仿宋_GB2312"/>
        </w:rPr>
        <w:t>详见附件：磋商响应方案-3.项目组织.docx</w:t>
      </w:r>
    </w:p>
    <w:p>
      <w:pPr>
        <w:pStyle w:val="null3"/>
        <w:ind w:firstLine="960"/>
      </w:pPr>
      <w:r>
        <w:rPr>
          <w:rFonts w:ascii="仿宋_GB2312" w:hAnsi="仿宋_GB2312" w:cs="仿宋_GB2312" w:eastAsia="仿宋_GB2312"/>
        </w:rPr>
        <w:t>详见附件：磋商响应方案-4.重、难点分析的对策措施.docx</w:t>
      </w:r>
    </w:p>
    <w:p>
      <w:pPr>
        <w:pStyle w:val="null3"/>
        <w:ind w:firstLine="960"/>
      </w:pPr>
      <w:r>
        <w:rPr>
          <w:rFonts w:ascii="仿宋_GB2312" w:hAnsi="仿宋_GB2312" w:cs="仿宋_GB2312" w:eastAsia="仿宋_GB2312"/>
        </w:rPr>
        <w:t>详见附件：磋商响应方案-5.工作制度及内控制度.docx</w:t>
      </w:r>
    </w:p>
    <w:p>
      <w:pPr>
        <w:pStyle w:val="null3"/>
        <w:ind w:firstLine="960"/>
      </w:pPr>
      <w:r>
        <w:rPr>
          <w:rFonts w:ascii="仿宋_GB2312" w:hAnsi="仿宋_GB2312" w:cs="仿宋_GB2312" w:eastAsia="仿宋_GB2312"/>
        </w:rPr>
        <w:t>详见附件：磋商响应方案-6.服务承诺及保密措施.docx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