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版本号：BB2025-11-ZB-11420251122002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2025年第一批市级财政农业专项资金(阎良区粮食绿色高效提单产)采购项目2包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BB2025-11-ZB-114</w:t>
      </w:r>
      <w:r>
        <w:br/>
      </w:r>
      <w:r>
        <w:br/>
      </w:r>
      <w:r>
        <w:br/>
      </w:r>
    </w:p>
    <w:p>
      <w:pPr>
        <w:pStyle w:val="null3"/>
        <w:jc w:val="center"/>
        <w:outlineLvl w:val="2"/>
      </w:pPr>
      <w:r>
        <w:rPr>
          <w:rFonts w:ascii="仿宋_GB2312" w:hAnsi="仿宋_GB2312" w:cs="仿宋_GB2312" w:eastAsia="仿宋_GB2312"/>
          <w:sz w:val="28"/>
          <w:b/>
        </w:rPr>
        <w:t>西安市阎良区农业技术推广中心</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西安市阎良区农业技术推广中心</w:t>
      </w:r>
      <w:r>
        <w:rPr>
          <w:rFonts w:ascii="仿宋_GB2312" w:hAnsi="仿宋_GB2312" w:cs="仿宋_GB2312" w:eastAsia="仿宋_GB2312"/>
        </w:rPr>
        <w:t>委托，拟对</w:t>
      </w:r>
      <w:r>
        <w:rPr>
          <w:rFonts w:ascii="仿宋_GB2312" w:hAnsi="仿宋_GB2312" w:cs="仿宋_GB2312" w:eastAsia="仿宋_GB2312"/>
        </w:rPr>
        <w:t>2025年第一批市级财政农业专项资金(阎良区粮食绿色高效提单产)采购项目2包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BB2025-11-ZB-114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2025年第一批市级财政农业专项资金(阎良区粮食绿色高效提单产)采购项目2包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粮食绿色高产高效“千亩示范方”，玉米、小麦各14个千亩示范方，共计28000亩，其中玉米14000亩、小麦14000亩。4月20日左右对小麦田实施一次以防治条锈病、赤霉病为主的小麦“一喷三防”；5月上旬开展一次以防治赤霉病、蚜虫为主的小麦中后期防治。7月玉米苗期使用杀虫剂、杀菌剂、沉降剂、叶面肥对玉米田开展一次病虫害防治和弱苗转壮；8月中下旬使用杀虫剂、杀菌剂、叶面肥开展杀虫、杀菌、促壮的“一喷多促”。 实施粮食绿色高产高效“千亩示范方”，玉米、小麦各14个千亩示范方，共计28000亩，其中玉米14000亩、小麦14000亩。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采购包1（2025年第一批市级财政农业专项资金(阎良区粮食绿色高效提单产)采购项目2包）：属于专门面向中小企业采购。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10月01日至今其基本开户银行出具的资信证明或财政部门认可的政府采购专业担保机构出具的投标担保函（以上三种形式的资料提供任何一种即可）；注：根据“【财办2022】32号”的规定，2022年后出具的审计报告须在注册会计师行业统一监管平台http://acc.mof.gov.cn/qrcapp/search.htmltimestamp=1709602157914)进行自动赋码验证，未赋码的视为审计报告无效。供应商须提供“注册会计师行业统一监管平台”审计报告查验结果截图。</w:t>
      </w:r>
    </w:p>
    <w:p>
      <w:pPr>
        <w:pStyle w:val="null3"/>
      </w:pPr>
      <w:r>
        <w:rPr>
          <w:rFonts w:ascii="仿宋_GB2312" w:hAnsi="仿宋_GB2312" w:cs="仿宋_GB2312" w:eastAsia="仿宋_GB2312"/>
        </w:rPr>
        <w:t>3、有依法缴纳社会保障资金的良好记录：有依法缴纳社会保障资金的良好记录：提供2025年05月01日至投标截止时间任意时段的缴纳证明，依法不需要缴纳社会保障资金的应提供相关文件证明；</w:t>
      </w:r>
    </w:p>
    <w:p>
      <w:pPr>
        <w:pStyle w:val="null3"/>
      </w:pPr>
      <w:r>
        <w:rPr>
          <w:rFonts w:ascii="仿宋_GB2312" w:hAnsi="仿宋_GB2312" w:cs="仿宋_GB2312" w:eastAsia="仿宋_GB2312"/>
        </w:rPr>
        <w:t>4、有依法缴纳税收的良好记录：有依法缴纳税收的良好记录：提供2025年05月01日至投标截止时间任意时段的缴纳证明，依法免税的单位应提供相关证明材料；</w:t>
      </w:r>
    </w:p>
    <w:p>
      <w:pPr>
        <w:pStyle w:val="null3"/>
      </w:pPr>
      <w:r>
        <w:rPr>
          <w:rFonts w:ascii="仿宋_GB2312" w:hAnsi="仿宋_GB2312" w:cs="仿宋_GB2312" w:eastAsia="仿宋_GB2312"/>
        </w:rPr>
        <w:t>5、书面声明：①提供参加政府采购活动前3年内在经营活动中没有重大违法记录的书面声明；②提供具有履行本合同所必需的设备和专业技术能力的声明；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6、法律、行政法规规定的其他条件：法定代表人参加投标，只须提供法定代表人证明书；法定代表人授权他人参加投标的，须提供法定代表人授权委托书、被授权人身份证复印件；</w:t>
      </w:r>
    </w:p>
    <w:p>
      <w:pPr>
        <w:pStyle w:val="null3"/>
      </w:pPr>
      <w:r>
        <w:rPr>
          <w:rFonts w:ascii="仿宋_GB2312" w:hAnsi="仿宋_GB2312" w:cs="仿宋_GB2312" w:eastAsia="仿宋_GB2312"/>
        </w:rPr>
        <w:t>7、其他要求：提供药剂生产厂家有效的“三证 ”（《农药登记证》、《农药生产许可证》和《农药标准证》），供应商为经销商的还须同时提供《农药经营许可证》；</w:t>
      </w:r>
    </w:p>
    <w:p>
      <w:pPr>
        <w:pStyle w:val="null3"/>
      </w:pPr>
      <w:r>
        <w:rPr>
          <w:rFonts w:ascii="仿宋_GB2312" w:hAnsi="仿宋_GB2312" w:cs="仿宋_GB2312" w:eastAsia="仿宋_GB2312"/>
        </w:rPr>
        <w:t>8、信誉：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9、供应商企业关系关联及联合体说明：供应商企业关系关联及联合体说明：本项目不接受联合体投标，单位负责人为同一人或者存在直接控股、管理关系的不同供应商，不得参加同一合同项下的政府采购活动。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029-86207529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西安市雁塔区南二环西段108号紫竹大厦A座2103室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伏工、刘工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029-88810380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标准收。2、采购代理服务费由成交供应商支付，在领取《成交通知书》前，由成交供应商一次性支付给代理公司。付款账户：公司名称：博标工程咨询有限公司，开户行：西安银行文艺北路支行，账号：509011510000050548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西安市阎良区农业技术推广中心</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博标工程咨询有限公司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联系电话：029-88810380</w:t>
      </w:r>
    </w:p>
    <w:p>
      <w:pPr>
        <w:pStyle w:val="null3"/>
      </w:pPr>
      <w:r>
        <w:rPr>
          <w:rFonts w:ascii="仿宋_GB2312" w:hAnsi="仿宋_GB2312" w:cs="仿宋_GB2312" w:eastAsia="仿宋_GB2312"/>
        </w:rPr>
        <w:t>地址：西安市雁塔区南二环西段108号紫竹大厦A座2103室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粮食绿色高产高效“千亩示范方”，玉米、小麦各14个千亩示范方，共计28000亩，其中玉米14000亩、小麦14000亩。4月20日左右对小麦田实施一次以防治条锈病、赤霉病为主的小麦“一喷三防”；5月上旬开展一次以防治赤霉病、蚜虫为主的小麦中后期防治。7月玉米苗期使用杀虫剂、杀菌剂、沉降剂、叶面肥对玉米田开展一次病虫害防治和弱苗转壮；8月中下旬使用杀虫剂、杀菌剂、叶面肥开展杀虫、杀菌、促壮的“一喷多促”。 实施粮食绿色高产高效“千亩示范方”，玉米、小麦各14个千亩示范方，共计28000亩，其中玉米14000亩、小麦14000亩。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2025年第一批市级财政农业专项资金(阎良区粮食绿色高效提单产)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标的名称：2025年第一批市级财政农业专项资金(阎良区粮食绿色高效提单产)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以防治小麦条锈病、茎基腐、赤霉病为主的小麦</w:t>
            </w:r>
            <w:r>
              <w:rPr>
                <w:rFonts w:ascii="仿宋_GB2312" w:hAnsi="仿宋_GB2312" w:cs="仿宋_GB2312" w:eastAsia="仿宋_GB2312"/>
                <w:sz w:val="21"/>
                <w:color w:val="000000"/>
              </w:rPr>
              <w:t>“一喷三防”：14000亩；5%高效氯氟氰菊酯微乳剂20ml/亩，200克/吡虫啉可溶液剂15ml/亩，40%丙硫菌唑戊唑醇悬浮剂30ml/亩，大量元素闪容磷钾功能肥50克/亩，植保无人机飞防助剂10ml/亩。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以防治小麦条锈病、茎基腐、赤霉病为主的小麦</w:t>
            </w:r>
            <w:r>
              <w:rPr>
                <w:rFonts w:ascii="仿宋_GB2312" w:hAnsi="仿宋_GB2312" w:cs="仿宋_GB2312" w:eastAsia="仿宋_GB2312"/>
                <w:sz w:val="21"/>
                <w:color w:val="000000"/>
              </w:rPr>
              <w:t>“一喷三防”作业：14000亩；使用植保无人机喷洒作业。</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以防治小麦赤霉病、蚜虫为主、增粒重的小麦中后期防治：</w:t>
            </w:r>
            <w:r>
              <w:rPr>
                <w:rFonts w:ascii="仿宋_GB2312" w:hAnsi="仿宋_GB2312" w:cs="仿宋_GB2312" w:eastAsia="仿宋_GB2312"/>
                <w:sz w:val="21"/>
                <w:color w:val="000000"/>
              </w:rPr>
              <w:t>14000亩；25%噻虫高氯氟悬浮剂20ml/亩，40%丙硫菌唑戊唑醇悬浮剂30ml/亩，大量元素闪容磷钾功能肥50克/亩，植保无人机飞防助剂10ml/亩，腐殖酸型水溶肥50克/亩。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以防治赤霉病、蚜虫为主的小麦中后期防治作业：</w:t>
            </w:r>
            <w:r>
              <w:rPr>
                <w:rFonts w:ascii="仿宋_GB2312" w:hAnsi="仿宋_GB2312" w:cs="仿宋_GB2312" w:eastAsia="仿宋_GB2312"/>
                <w:sz w:val="21"/>
                <w:color w:val="000000"/>
              </w:rPr>
              <w:t>14000亩；使用植保无人机喷洒作业。</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玉米苗期使用杀虫剂、杀菌剂、沉降剂、叶面肥对玉米田开展一次病虫害防治和弱苗转壮：</w:t>
            </w:r>
            <w:r>
              <w:rPr>
                <w:rFonts w:ascii="仿宋_GB2312" w:hAnsi="仿宋_GB2312" w:cs="仿宋_GB2312" w:eastAsia="仿宋_GB2312"/>
                <w:sz w:val="21"/>
                <w:color w:val="000000"/>
              </w:rPr>
              <w:t>14000亩；5%甲维高氯氟水乳剂25ml/亩，35%唑醚氟环唑悬浮剂30ml/亩，大量元素闪容磷钾功能肥50克/亩，350克/升液体氮肥50克/亩，植保无人机飞防助剂10ml/亩。</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玉米苗期使用杀虫剂、杀菌剂、沉降剂、叶面肥对玉米田开展一次病虫害防治和弱苗转壮作业：</w:t>
            </w:r>
            <w:r>
              <w:rPr>
                <w:rFonts w:ascii="仿宋_GB2312" w:hAnsi="仿宋_GB2312" w:cs="仿宋_GB2312" w:eastAsia="仿宋_GB2312"/>
                <w:sz w:val="21"/>
                <w:color w:val="000000"/>
              </w:rPr>
              <w:t>14000亩；使用植保无人机喷洒作业。</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玉米中后期使用杀虫剂、杀菌剂、叶面肥开展杀虫、杀菌、促壮的</w:t>
            </w:r>
            <w:r>
              <w:rPr>
                <w:rFonts w:ascii="仿宋_GB2312" w:hAnsi="仿宋_GB2312" w:cs="仿宋_GB2312" w:eastAsia="仿宋_GB2312"/>
                <w:sz w:val="21"/>
                <w:color w:val="000000"/>
              </w:rPr>
              <w:t>“一喷多促”：14000亩；5%甲维高氯氟水乳剂25ml/亩，35%唑醚氟环唑悬浮剂30ml/亩，大量元素闪容磷钾功能肥50克/亩，腐殖酸型水溶肥50克/亩，植保无人机飞防助剂10ml/亩。</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玉米中后期使用杀虫剂、杀菌剂、叶面肥开展杀虫、杀菌、促壮的</w:t>
            </w:r>
            <w:r>
              <w:rPr>
                <w:rFonts w:ascii="仿宋_GB2312" w:hAnsi="仿宋_GB2312" w:cs="仿宋_GB2312" w:eastAsia="仿宋_GB2312"/>
                <w:sz w:val="21"/>
                <w:color w:val="000000"/>
              </w:rPr>
              <w:t>“一喷多促”作业：14000亩；使用植保无人机喷洒作业。</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4月20日左右对小麦田实施一次以防治条锈病、赤霉病为主的小麦“一喷三防”；5月上旬开展一次以防治赤霉病、蚜虫为主的小麦中后期防治。共2次，合计28000亩。</w:t>
            </w:r>
          </w:p>
          <w:p>
            <w:pPr>
              <w:pStyle w:val="null3"/>
            </w:pPr>
            <w:r>
              <w:rPr>
                <w:rFonts w:ascii="仿宋_GB2312" w:hAnsi="仿宋_GB2312" w:cs="仿宋_GB2312" w:eastAsia="仿宋_GB2312"/>
                <w:sz w:val="21"/>
                <w:color w:val="000000"/>
              </w:rPr>
              <w:t>7月玉米苗期使用杀虫剂、杀菌剂、沉降剂、叶面肥对玉米田开展一次病虫害防治和弱苗转壮；8月中下旬使用杀虫剂、杀菌剂、叶面肥开展杀虫、杀菌、促壮的“一喷多促”，共2次，合计28000亩。</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color w:val="000000"/>
              </w:rPr>
              <w:t>3.3服务要求（如对人员配置、专业设备、服务标准等）</w:t>
            </w:r>
          </w:p>
          <w:p>
            <w:pPr>
              <w:pStyle w:val="null3"/>
              <w:ind w:firstLine="420"/>
              <w:jc w:val="left"/>
            </w:pPr>
            <w:r>
              <w:rPr>
                <w:rFonts w:ascii="仿宋_GB2312" w:hAnsi="仿宋_GB2312" w:cs="仿宋_GB2312" w:eastAsia="仿宋_GB2312"/>
                <w:sz w:val="21"/>
                <w:color w:val="000000"/>
              </w:rPr>
              <w:t>在合同执行过程中需要服务商应执行的相关服务标准和应当履行的相关义务。</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小麦杀虫、杀菌、增产（一喷三防），小麦防治条锈病及赤霉病防效均需达到</w:t>
            </w:r>
            <w:r>
              <w:rPr>
                <w:rFonts w:ascii="仿宋_GB2312" w:hAnsi="仿宋_GB2312" w:cs="仿宋_GB2312" w:eastAsia="仿宋_GB2312"/>
                <w:sz w:val="21"/>
                <w:color w:val="000000"/>
              </w:rPr>
              <w:t>85%以上，玉米玉米苗期使用杀虫剂、杀菌剂、沉降剂、叶面肥对玉米田开展一次病虫害防治和弱苗转壮及一喷多促防效均需达到85%以上。</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项目作业以植保无人机防治，要求参与企业具备相关资质、专业器械及机手证书。</w:t>
            </w:r>
          </w:p>
          <w:p>
            <w:pPr>
              <w:pStyle w:val="null3"/>
              <w:jc w:val="left"/>
            </w:pPr>
            <w:r>
              <w:rPr>
                <w:rFonts w:ascii="仿宋_GB2312" w:hAnsi="仿宋_GB2312" w:cs="仿宋_GB2312" w:eastAsia="仿宋_GB2312"/>
                <w:sz w:val="21"/>
                <w:b/>
                <w:color w:val="000000"/>
              </w:rPr>
              <w:t>3.4商务要求</w:t>
            </w:r>
          </w:p>
          <w:p>
            <w:pPr>
              <w:pStyle w:val="null3"/>
              <w:ind w:firstLine="420"/>
              <w:jc w:val="left"/>
            </w:pPr>
            <w:r>
              <w:rPr>
                <w:rFonts w:ascii="仿宋_GB2312" w:hAnsi="仿宋_GB2312" w:cs="仿宋_GB2312" w:eastAsia="仿宋_GB2312"/>
                <w:sz w:val="21"/>
                <w:color w:val="000000"/>
              </w:rPr>
              <w:t>3.4.1</w:t>
            </w:r>
            <w:r>
              <w:rPr>
                <w:rFonts w:ascii="仿宋_GB2312" w:hAnsi="仿宋_GB2312" w:cs="仿宋_GB2312" w:eastAsia="仿宋_GB2312"/>
                <w:sz w:val="21"/>
                <w:color w:val="000000"/>
              </w:rPr>
              <w:t>服务期限</w:t>
            </w:r>
          </w:p>
          <w:p>
            <w:pPr>
              <w:pStyle w:val="null3"/>
              <w:ind w:firstLine="630"/>
              <w:jc w:val="left"/>
            </w:pPr>
            <w:r>
              <w:rPr>
                <w:rFonts w:ascii="仿宋_GB2312" w:hAnsi="仿宋_GB2312" w:cs="仿宋_GB2312" w:eastAsia="仿宋_GB2312"/>
                <w:sz w:val="21"/>
                <w:color w:val="000000"/>
              </w:rPr>
              <w:t>服务地点：采购人指定地点。</w:t>
            </w:r>
          </w:p>
          <w:p>
            <w:pPr>
              <w:pStyle w:val="null3"/>
              <w:ind w:firstLine="630"/>
              <w:jc w:val="left"/>
            </w:pPr>
            <w:r>
              <w:rPr>
                <w:rFonts w:ascii="仿宋_GB2312" w:hAnsi="仿宋_GB2312" w:cs="仿宋_GB2312" w:eastAsia="仿宋_GB2312"/>
                <w:sz w:val="21"/>
                <w:color w:val="000000"/>
              </w:rPr>
              <w:t>服务期限：合同签订之日至</w:t>
            </w:r>
            <w:r>
              <w:rPr>
                <w:rFonts w:ascii="仿宋_GB2312" w:hAnsi="仿宋_GB2312" w:cs="仿宋_GB2312" w:eastAsia="仿宋_GB2312"/>
                <w:sz w:val="21"/>
                <w:color w:val="000000"/>
              </w:rPr>
              <w:t>2026年10月20日前。</w:t>
            </w:r>
          </w:p>
          <w:p>
            <w:pPr>
              <w:pStyle w:val="null3"/>
              <w:ind w:firstLine="420"/>
              <w:jc w:val="left"/>
            </w:pPr>
            <w:r>
              <w:rPr>
                <w:rFonts w:ascii="仿宋_GB2312" w:hAnsi="仿宋_GB2312" w:cs="仿宋_GB2312" w:eastAsia="仿宋_GB2312"/>
                <w:sz w:val="21"/>
                <w:color w:val="000000"/>
              </w:rPr>
              <w:t>3.4.2</w:t>
            </w:r>
            <w:r>
              <w:rPr>
                <w:rFonts w:ascii="仿宋_GB2312" w:hAnsi="仿宋_GB2312" w:cs="仿宋_GB2312" w:eastAsia="仿宋_GB2312"/>
                <w:sz w:val="21"/>
                <w:color w:val="000000"/>
              </w:rPr>
              <w:t>款项结算</w:t>
            </w:r>
          </w:p>
          <w:p>
            <w:pPr>
              <w:pStyle w:val="null3"/>
              <w:ind w:firstLine="630"/>
              <w:jc w:val="left"/>
            </w:pPr>
            <w:r>
              <w:rPr>
                <w:rFonts w:ascii="仿宋_GB2312" w:hAnsi="仿宋_GB2312" w:cs="仿宋_GB2312" w:eastAsia="仿宋_GB2312"/>
                <w:sz w:val="21"/>
                <w:color w:val="000000"/>
              </w:rPr>
              <w:t>付款方式</w:t>
            </w:r>
          </w:p>
          <w:p>
            <w:pPr>
              <w:pStyle w:val="null3"/>
              <w:ind w:firstLine="630"/>
              <w:jc w:val="left"/>
            </w:pPr>
            <w:r>
              <w:rPr>
                <w:rFonts w:ascii="仿宋_GB2312" w:hAnsi="仿宋_GB2312" w:cs="仿宋_GB2312" w:eastAsia="仿宋_GB2312"/>
                <w:sz w:val="21"/>
                <w:color w:val="000000"/>
              </w:rPr>
              <w:t>结算单位：采购人结算，在付款前必须开具等额发票给采购人。</w:t>
            </w:r>
          </w:p>
          <w:p>
            <w:pPr>
              <w:pStyle w:val="null3"/>
              <w:ind w:firstLine="630"/>
              <w:jc w:val="left"/>
            </w:pPr>
            <w:r>
              <w:rPr>
                <w:rFonts w:ascii="仿宋_GB2312" w:hAnsi="仿宋_GB2312" w:cs="仿宋_GB2312" w:eastAsia="仿宋_GB2312"/>
                <w:sz w:val="21"/>
                <w:color w:val="000000"/>
              </w:rPr>
              <w:t>付款方式：无预付款，该项目验收完成后，及时全额支付。</w:t>
            </w:r>
          </w:p>
          <w:p>
            <w:pPr>
              <w:pStyle w:val="null3"/>
              <w:ind w:firstLine="630"/>
              <w:jc w:val="left"/>
            </w:pPr>
            <w:r>
              <w:rPr>
                <w:rFonts w:ascii="仿宋_GB2312" w:hAnsi="仿宋_GB2312" w:cs="仿宋_GB2312" w:eastAsia="仿宋_GB2312"/>
                <w:sz w:val="21"/>
                <w:color w:val="000000"/>
              </w:rPr>
              <w:t>支付方式：银行转账。</w:t>
            </w:r>
          </w:p>
          <w:p>
            <w:pPr>
              <w:pStyle w:val="null3"/>
              <w:ind w:firstLine="630"/>
              <w:jc w:val="left"/>
            </w:pPr>
            <w:r>
              <w:rPr>
                <w:rFonts w:ascii="仿宋_GB2312" w:hAnsi="仿宋_GB2312" w:cs="仿宋_GB2312" w:eastAsia="仿宋_GB2312"/>
                <w:sz w:val="21"/>
                <w:color w:val="000000"/>
              </w:rPr>
              <w:t>结算方式：乙方在接受付款前开具等额发票给甲方。</w:t>
            </w:r>
          </w:p>
          <w:p>
            <w:pPr>
              <w:pStyle w:val="null3"/>
              <w:jc w:val="left"/>
            </w:pPr>
            <w:r>
              <w:rPr>
                <w:rFonts w:ascii="仿宋_GB2312" w:hAnsi="仿宋_GB2312" w:cs="仿宋_GB2312" w:eastAsia="仿宋_GB2312"/>
                <w:sz w:val="21"/>
                <w:b/>
                <w:color w:val="000000"/>
              </w:rPr>
              <w:t>3.5其他</w:t>
            </w:r>
          </w:p>
          <w:p>
            <w:pPr>
              <w:pStyle w:val="null3"/>
              <w:ind w:firstLine="420"/>
              <w:jc w:val="left"/>
            </w:pPr>
            <w:r>
              <w:rPr>
                <w:rFonts w:ascii="仿宋_GB2312" w:hAnsi="仿宋_GB2312" w:cs="仿宋_GB2312" w:eastAsia="仿宋_GB2312"/>
                <w:sz w:val="21"/>
                <w:color w:val="000000"/>
              </w:rPr>
              <w:t>3.5.1</w:t>
            </w:r>
            <w:r>
              <w:rPr>
                <w:rFonts w:ascii="仿宋_GB2312" w:hAnsi="仿宋_GB2312" w:cs="仿宋_GB2312" w:eastAsia="仿宋_GB2312"/>
                <w:sz w:val="21"/>
                <w:color w:val="000000"/>
              </w:rPr>
              <w:t>进度要求</w:t>
            </w:r>
          </w:p>
          <w:p>
            <w:pPr>
              <w:pStyle w:val="null3"/>
              <w:ind w:firstLine="630"/>
              <w:jc w:val="left"/>
            </w:pPr>
            <w:r>
              <w:rPr>
                <w:rFonts w:ascii="仿宋_GB2312" w:hAnsi="仿宋_GB2312" w:cs="仿宋_GB2312" w:eastAsia="仿宋_GB2312"/>
                <w:sz w:val="21"/>
                <w:color w:val="000000"/>
              </w:rPr>
              <w:t>按甲方要求进度及时完成</w:t>
            </w:r>
          </w:p>
          <w:p>
            <w:pPr>
              <w:pStyle w:val="null3"/>
              <w:ind w:firstLine="420"/>
              <w:jc w:val="left"/>
            </w:pPr>
            <w:r>
              <w:rPr>
                <w:rFonts w:ascii="仿宋_GB2312" w:hAnsi="仿宋_GB2312" w:cs="仿宋_GB2312" w:eastAsia="仿宋_GB2312"/>
                <w:sz w:val="21"/>
                <w:color w:val="000000"/>
              </w:rPr>
              <w:t>3.5.2</w:t>
            </w:r>
            <w:r>
              <w:rPr>
                <w:rFonts w:ascii="仿宋_GB2312" w:hAnsi="仿宋_GB2312" w:cs="仿宋_GB2312" w:eastAsia="仿宋_GB2312"/>
                <w:sz w:val="21"/>
                <w:color w:val="000000"/>
              </w:rPr>
              <w:t>成果交付要求</w:t>
            </w:r>
          </w:p>
          <w:p>
            <w:pPr>
              <w:pStyle w:val="null3"/>
              <w:ind w:firstLine="630"/>
              <w:jc w:val="left"/>
            </w:pPr>
            <w:r>
              <w:rPr>
                <w:rFonts w:ascii="仿宋_GB2312" w:hAnsi="仿宋_GB2312" w:cs="仿宋_GB2312" w:eastAsia="仿宋_GB2312"/>
                <w:sz w:val="21"/>
                <w:color w:val="000000"/>
              </w:rPr>
              <w:t>按甲方要求提供产品质量证件、相关报账资料</w:t>
            </w:r>
          </w:p>
          <w:p>
            <w:pPr>
              <w:pStyle w:val="null3"/>
              <w:ind w:firstLine="420"/>
              <w:jc w:val="left"/>
            </w:pPr>
            <w:r>
              <w:rPr>
                <w:rFonts w:ascii="仿宋_GB2312" w:hAnsi="仿宋_GB2312" w:cs="仿宋_GB2312" w:eastAsia="仿宋_GB2312"/>
                <w:sz w:val="21"/>
                <w:color w:val="000000"/>
              </w:rPr>
              <w:t>3.5.3</w:t>
            </w:r>
            <w:r>
              <w:rPr>
                <w:rFonts w:ascii="仿宋_GB2312" w:hAnsi="仿宋_GB2312" w:cs="仿宋_GB2312" w:eastAsia="仿宋_GB2312"/>
                <w:sz w:val="21"/>
                <w:color w:val="000000"/>
              </w:rPr>
              <w:t>质量验收标准或规范</w:t>
            </w:r>
          </w:p>
          <w:p>
            <w:pPr>
              <w:pStyle w:val="null3"/>
              <w:ind w:firstLine="630"/>
              <w:jc w:val="left"/>
            </w:pPr>
            <w:r>
              <w:rPr>
                <w:rFonts w:ascii="仿宋_GB2312" w:hAnsi="仿宋_GB2312" w:cs="仿宋_GB2312" w:eastAsia="仿宋_GB2312"/>
                <w:sz w:val="21"/>
                <w:color w:val="000000"/>
              </w:rPr>
              <w:t>符合国家规定的标准。</w:t>
            </w:r>
          </w:p>
          <w:p>
            <w:pPr>
              <w:pStyle w:val="null3"/>
              <w:ind w:firstLine="420"/>
              <w:jc w:val="left"/>
            </w:pPr>
            <w:r>
              <w:rPr>
                <w:rFonts w:ascii="仿宋_GB2312" w:hAnsi="仿宋_GB2312" w:cs="仿宋_GB2312" w:eastAsia="仿宋_GB2312"/>
                <w:sz w:val="21"/>
                <w:color w:val="000000"/>
              </w:rPr>
              <w:t>3.5.4</w:t>
            </w:r>
            <w:r>
              <w:rPr>
                <w:rFonts w:ascii="仿宋_GB2312" w:hAnsi="仿宋_GB2312" w:cs="仿宋_GB2312" w:eastAsia="仿宋_GB2312"/>
                <w:sz w:val="21"/>
                <w:color w:val="000000"/>
              </w:rPr>
              <w:t>违约责任</w:t>
            </w:r>
          </w:p>
          <w:p>
            <w:pPr>
              <w:pStyle w:val="null3"/>
              <w:ind w:firstLine="630"/>
              <w:jc w:val="left"/>
            </w:pPr>
            <w:r>
              <w:rPr>
                <w:rFonts w:ascii="仿宋_GB2312" w:hAnsi="仿宋_GB2312" w:cs="仿宋_GB2312" w:eastAsia="仿宋_GB2312"/>
                <w:sz w:val="21"/>
                <w:color w:val="000000"/>
              </w:rPr>
              <w:t>甲乙双方按照《</w:t>
            </w:r>
            <w:r>
              <w:rPr>
                <w:rFonts w:ascii="仿宋_GB2312" w:hAnsi="仿宋_GB2312" w:cs="仿宋_GB2312" w:eastAsia="仿宋_GB2312"/>
                <w:sz w:val="21"/>
                <w:color w:val="000000"/>
              </w:rPr>
              <w:t>中华人民共和国民法典</w:t>
            </w:r>
            <w:r>
              <w:rPr>
                <w:rFonts w:ascii="仿宋_GB2312" w:hAnsi="仿宋_GB2312" w:cs="仿宋_GB2312" w:eastAsia="仿宋_GB2312"/>
                <w:sz w:val="21"/>
                <w:color w:val="000000"/>
              </w:rPr>
              <w:t>》相关条款执行。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在合同执行过程中需要服务商应执行的相关服务标准和应当履行的相关义务。 1、小麦杀虫、杀菌、增产（一喷三防），小麦防治条锈病及赤霉病防效均需达到85%以上，玉米玉米苗期使用杀虫剂、杀菌剂、沉降剂、叶面肥对玉米田开展一次病虫害防治和弱苗转壮及一喷多促防效均需达到85%以上。 2、项目作业以植保无人机防治，要求参与企业具备相关资质、专业器械及机手证书。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合同签订之日至2026年10月20日前。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无预付款，该项目验收完成后，及时全额支付。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甲乙双方按照《中华人民共和国民法典》相关条款执行。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3.4.1进度要求 按甲方要求进度及时完成 3.4.2成果交付要求 按甲方要求提供产品质量证件、相关报账资料 3.4.3质量验收标准或规范 符合国家规定的标准。 3.4.4违约责任 甲乙双方按照《中华人民共和国民法典》相关条款执行。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10月01日至今其基本开户银行出具的资信证明或财政部门认可的政府采购专业担保机构出具的投标担保函（以上三种形式的资料提供任何一种即可）；注：根据“【财办2022】32号”的规定，2022年后出具的审计报告须在注册会计师行业统一监管平台http://acc.mof.gov.cn/qrcapp/search.htmltimestamp=1709602157914)进行自动赋码验证，未赋码的视为审计报告无效。供应商须提供“注册会计师行业统一监管平台”审计报告查验结果截图。</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有依法缴纳社会保障资金的良好记录：提供2025年05月01日至投标截止时间任意时段的缴纳证明，依法不需要缴纳社会保障资金的应提供相关文件证明；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有依法缴纳税收的良好记录：提供2025年05月01日至投标截止时间任意时段的缴纳证明，依法免税的单位应提供相关证明材料；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投标人承诺书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法定代表人参加投标，只须提供法定代表人证明书；法定代表人授权他人参加投标的，须提供法定代表人授权委托书、被授权人身份证复印件；</w:t>
            </w:r>
          </w:p>
        </w:tc>
        <w:tc>
          <w:tcPr>
            <w:tcW w:type="dxa" w:w="1661"/>
          </w:tcPr>
          <w:p>
            <w:pPr>
              <w:pStyle w:val="null3"/>
            </w:pPr>
            <w:r>
              <w:rPr>
                <w:rFonts w:ascii="仿宋_GB2312" w:hAnsi="仿宋_GB2312" w:cs="仿宋_GB2312" w:eastAsia="仿宋_GB2312"/>
              </w:rPr>
              <w:t>投标人承诺书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提供药剂生产厂家有效的“三证 ”（《农药登记证》、《农药生产许可证》和《农药标准证》），供应商为经销商的还须同时提供《农药经营许可证》；</w:t>
            </w:r>
          </w:p>
        </w:tc>
        <w:tc>
          <w:tcPr>
            <w:tcW w:type="dxa" w:w="1661"/>
          </w:tcPr>
          <w:p>
            <w:pPr>
              <w:pStyle w:val="null3"/>
            </w:pPr>
            <w:r>
              <w:rPr>
                <w:rFonts w:ascii="仿宋_GB2312" w:hAnsi="仿宋_GB2312" w:cs="仿宋_GB2312" w:eastAsia="仿宋_GB2312"/>
              </w:rPr>
              <w:t>投标人承诺书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投标人承诺书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投标人承诺书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响应文件上法定代表人或其授权代表人的签字齐全或加盖单位公章。</w:t>
            </w:r>
          </w:p>
        </w:tc>
        <w:tc>
          <w:tcPr>
            <w:tcW w:type="dxa" w:w="1661"/>
          </w:tcPr>
          <w:p>
            <w:pPr>
              <w:pStyle w:val="null3"/>
            </w:pPr>
            <w:r>
              <w:rPr>
                <w:rFonts w:ascii="仿宋_GB2312" w:hAnsi="仿宋_GB2312" w:cs="仿宋_GB2312" w:eastAsia="仿宋_GB2312"/>
              </w:rPr>
              <w:t>响应文件封面 商务、技术、服务标准和要求响应表 分项报价表 服务方案 标的清单 投标人承诺书 报价表 响应函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分项报价表 中小企业声明函 投标人承诺书 报价表 投标人应提交的相关资格证明材料 响应文件封面 商务、技术、服务标准和要求响应表 残疾人福利性单位声明函 服务方案 标的清单 投标人需要说明的其他内容.docx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供应商提出针对本项目的服务方案，方案内容包含：①服务目标；②服务定位；③服务重难点分析及解决措施；④服务理念及特色；⑤验收措施。 三、评审标准 1、完整性：方案须全面，对评审内容中的各项要求有详细描述； 2、可实施性：切合本项目实际情况，实施步骤清晰、合理； 3、针对性：方案能够紧扣项目实际情况， 内容科学合理。 三、赋分标准（满分15分） ①服务目标：每完全满足一个评审标准得1分，满分3分； ②服务定位:每完全满足一个评审标准得1分，满分3分； ③服务重难点分析及解决措施:每完全满足一个评审标准得1分，满分3分； ④服务理念及特色：每完全满足一个评审标准得1分，满分3分； ⑤验收措施：每完全满足一个评审标准得1分，满分3分。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根据本项目实际需要，提供安全保障方案。方案内容包含①安全目标；②安全控制措施。 二、评审标准 1、完整性：方案必须全面，对评审内容中的各项要求有详细描述； 2、可实施性：切合本标段实际情况，提出步骤清晰、合理的方案； 3、针对性：方案能够紧扣项目实际情况， 内容科学合理。 三、赋分标准（满分 6 分） ①安全目标：每完全满足一个评审标准得1分，满分3分； ②安全控制措施：每完全满足一个评审标准得1分，满分3分。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根据本项目实际需要，提供质量保障方案。方案内容包含①质量目标；②质量控制措施。 二、评审标准 1、完整性：方案必须全面，对评审内容中的各项要求有详细描述； 2、可实施性：切合本标段实际情况，提出步骤清晰、合理的方案； 3、针对性：方案能够紧扣项目实际情况， 内容科学合理。 三、赋分标准（满分 6 分） ①质量目标：每完全满足一个评审标准得1分，满分3分； ②质量控制措施：每完全满足一个评审标准得1分，满分3分。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根据本项目实际需要，提供应急处置方案。方案内容包含①应急处置方案；②应急处理措施。 二、评审标准 1、完整性：方案必须全面，对评审内容中的各项要求有详细描述； 2、可实施性：切合本标段实际情况，提出步骤清晰、合理的方案； 3、针对性：方案能够紧扣项目实际情况， 内容科学合理。 三、赋分标准（满分 6 分） ①应急处置方案：每完全满足一个评审标准得1分，满分3分； ②应急处理措施：每完全满足一个评审标准得1分，满分3分。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 根据本项目实际需要，提供实施团队。内容包含①人员配置信息；②相关资格证书；③岗位职责；④相关经验。 二、评审标准 1、完整性：方案必须全面，对评审内容中的各项要求有详细描述； 2、可实施性：切合本标段实际情况，提出步骤清晰、合理的方案； 3、针对性：方案能够紧扣项目实际情况， 内容科学合理。 三、赋分标准（满分 12 分） ①人员配置信息：每完全满足一个评审标准得1分，满分3分； ②相关资格证书：每完全满足一个评审标准得1分，满分3分； ③岗位职责：每完全满足一个评审标准得1分，满分3分； ④相关经验：每完全满足一个评审标准得1分，满分3分。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投标人承诺书</w:t>
            </w:r>
          </w:p>
          <w:p>
            <w:pPr>
              <w:pStyle w:val="null3"/>
            </w:pPr>
            <w:r>
              <w:rPr>
                <w:rFonts w:ascii="仿宋_GB2312" w:hAnsi="仿宋_GB2312" w:cs="仿宋_GB2312" w:eastAsia="仿宋_GB2312"/>
              </w:rPr>
              <w:t>商务、技术、服务标准和要求响应表</w:t>
            </w:r>
          </w:p>
        </w:tc>
      </w:tr>
      <w:tr>
        <w:tc>
          <w:tcPr>
            <w:tcW w:type="dxa" w:w="831"/>
            <w:vMerge/>
          </w:tcPr>
          <w:p/>
        </w:tc>
        <w:tc>
          <w:tcPr>
            <w:tcW w:type="dxa" w:w="1661"/>
          </w:tcPr>
          <w:p>
            <w:pPr>
              <w:pStyle w:val="null3"/>
            </w:pPr>
            <w:r>
              <w:rPr>
                <w:rFonts w:ascii="仿宋_GB2312" w:hAnsi="仿宋_GB2312" w:cs="仿宋_GB2312" w:eastAsia="仿宋_GB2312"/>
              </w:rPr>
              <w:t>作业组织的规模、能力</w:t>
            </w:r>
          </w:p>
        </w:tc>
        <w:tc>
          <w:tcPr>
            <w:tcW w:type="dxa" w:w="2492"/>
          </w:tcPr>
          <w:p>
            <w:pPr>
              <w:pStyle w:val="null3"/>
            </w:pPr>
            <w:r>
              <w:rPr>
                <w:rFonts w:ascii="仿宋_GB2312" w:hAnsi="仿宋_GB2312" w:cs="仿宋_GB2312" w:eastAsia="仿宋_GB2312"/>
              </w:rPr>
              <w:t>1、具备无人机操作手资格证的操作人员不少于10名（以合格证为准），共10分，每少一名人员扣1分。 2、具备航化作业的无人机设备（载药量30公斤以上）不少于10架（提供购机发票或付款凭证或租赁合同等），共10分，每少一架航化作业设备扣1分。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根据投标文件所提供2022年1月1日起至今类似业绩（以合同复印件为准），每提供一份有效业绩证明材料，得1分，最高得5分。 注：合同内容应包括首页、签字页、合同内容等关键信息。对于提供合同不清晰、信息不全，字体有明显修改等现象，视为无效业绩。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商务、技术、服务标准和要求响应表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 注：本项目专门面向中小企业采购，不享受优惠政策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详见附件：商务、技术、服务标准和要求响应表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